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FangSong_GB2312" w:hAnsi="FangSong_GB2312" w:eastAsia="FangSong_GB2312" w:cs="FangSong_GB2312"/>
          <w:sz w:val="36"/>
          <w:szCs w:val="36"/>
        </w:rPr>
      </w:pPr>
      <w:bookmarkStart w:id="21" w:name="_GoBack"/>
      <w:bookmarkEnd w:id="21"/>
      <w:r>
        <w:pict>
          <v:shape id="_x0000_i1025" o:spt="75" type="#_x0000_t75" style="height:77.25pt;width:83.25pt;" filled="f" o:preferrelative="t" stroked="f" coordsize="21600,21600">
            <v:path/>
            <v:fill on="f" focussize="0,0"/>
            <v:stroke on="f"/>
            <v:imagedata r:id="rId12" o:title=""/>
            <o:lock v:ext="edit" aspectratio="t"/>
            <w10:wrap type="none"/>
            <w10:anchorlock/>
          </v:shape>
        </w:pict>
      </w:r>
    </w:p>
    <w:p>
      <w:pPr>
        <w:rPr>
          <w:rFonts w:ascii="FangSong_GB2312" w:hAnsi="FangSong_GB2312" w:eastAsia="FangSong_GB2312" w:cs="FangSong_GB2312"/>
          <w:sz w:val="36"/>
          <w:szCs w:val="36"/>
        </w:rPr>
      </w:pPr>
    </w:p>
    <w:p>
      <w:pPr>
        <w:rPr>
          <w:rFonts w:ascii="FangSong_GB2312" w:hAnsi="FangSong_GB2312" w:eastAsia="FangSong_GB2312" w:cs="FangSong_GB2312"/>
          <w:sz w:val="36"/>
          <w:szCs w:val="36"/>
        </w:rPr>
      </w:pPr>
    </w:p>
    <w:p>
      <w:pPr>
        <w:rPr>
          <w:rFonts w:ascii="FangSong_GB2312" w:hAnsi="FangSong_GB2312" w:eastAsia="FangSong_GB2312" w:cs="FangSong_GB2312"/>
          <w:sz w:val="36"/>
          <w:szCs w:val="36"/>
        </w:rPr>
      </w:pPr>
    </w:p>
    <w:p>
      <w:pPr>
        <w:rPr>
          <w:rFonts w:ascii="FangSong_GB2312" w:hAnsi="FangSong_GB2312" w:eastAsia="FangSong_GB2312" w:cs="FangSong_GB2312"/>
          <w:sz w:val="36"/>
          <w:szCs w:val="36"/>
        </w:rPr>
      </w:pPr>
    </w:p>
    <w:p>
      <w:pPr>
        <w:adjustRightInd w:val="0"/>
        <w:snapToGrid w:val="0"/>
        <w:jc w:val="center"/>
        <w:rPr>
          <w:rFonts w:ascii="方正小标宋_GBK" w:eastAsia="方正小标宋_GBK"/>
          <w:bCs/>
          <w:sz w:val="72"/>
          <w:szCs w:val="72"/>
        </w:rPr>
      </w:pPr>
      <w:bookmarkStart w:id="0" w:name="_Toc18245"/>
      <w:r>
        <w:rPr>
          <w:rFonts w:hint="eastAsia" w:ascii="方正小标宋_GBK" w:eastAsia="方正小标宋_GBK"/>
          <w:bCs/>
          <w:sz w:val="72"/>
          <w:szCs w:val="72"/>
        </w:rPr>
        <w:t>建设项目环境影响报告表</w:t>
      </w:r>
      <w:bookmarkEnd w:id="0"/>
    </w:p>
    <w:p>
      <w:pPr>
        <w:adjustRightInd w:val="0"/>
        <w:snapToGrid w:val="0"/>
        <w:spacing w:beforeLines="80"/>
        <w:jc w:val="center"/>
        <w:rPr>
          <w:rFonts w:ascii="KaiTi_GB2312" w:eastAsia="KaiTi_GB2312"/>
          <w:bCs/>
          <w:sz w:val="48"/>
          <w:szCs w:val="48"/>
        </w:rPr>
      </w:pPr>
      <w:r>
        <w:rPr>
          <w:rFonts w:hint="eastAsia" w:ascii="KaiTi_GB2312" w:eastAsia="KaiTi_GB2312"/>
          <w:bCs/>
          <w:sz w:val="48"/>
          <w:szCs w:val="48"/>
        </w:rPr>
        <w:t>（污染影响类）</w:t>
      </w:r>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ascii="FangSong_GB2312" w:eastAsia="FangSong_GB2312"/>
          <w:sz w:val="36"/>
          <w:szCs w:val="36"/>
          <w:u w:val="single"/>
        </w:rPr>
      </w:pPr>
      <w:r>
        <w:rPr>
          <w:rFonts w:hint="eastAsia" w:ascii="FangSong_GB2312" w:eastAsia="FangSong_GB2312"/>
          <w:sz w:val="36"/>
          <w:szCs w:val="36"/>
        </w:rPr>
        <w:t>项目名称：</w:t>
      </w:r>
      <w:r>
        <w:rPr>
          <w:rFonts w:hint="eastAsia" w:ascii="FangSong_GB2312" w:eastAsia="FangSong_GB2312"/>
          <w:sz w:val="36"/>
          <w:szCs w:val="36"/>
          <w:u w:val="single"/>
          <w:lang w:val="en-US" w:eastAsia="zh-CN"/>
        </w:rPr>
        <w:t xml:space="preserve">     </w:t>
      </w:r>
      <w:r>
        <w:rPr>
          <w:rFonts w:hint="eastAsia" w:ascii="FangSong_GB2312" w:eastAsia="FangSong_GB2312"/>
          <w:sz w:val="36"/>
          <w:szCs w:val="36"/>
          <w:u w:val="single"/>
        </w:rPr>
        <w:t xml:space="preserve">黄山市昱城中学分校    </w:t>
      </w:r>
    </w:p>
    <w:p>
      <w:pPr>
        <w:adjustRightInd w:val="0"/>
        <w:snapToGrid w:val="0"/>
        <w:spacing w:line="288" w:lineRule="auto"/>
        <w:ind w:firstLine="1040"/>
        <w:rPr>
          <w:rFonts w:ascii="FangSong_GB2312" w:eastAsia="FangSong_GB2312"/>
          <w:sz w:val="36"/>
          <w:szCs w:val="36"/>
          <w:u w:val="single"/>
        </w:rPr>
      </w:pPr>
      <w:r>
        <w:rPr>
          <w:rFonts w:hint="eastAsia" w:ascii="FangSong_GB2312" w:eastAsia="FangSong_GB2312"/>
          <w:sz w:val="36"/>
          <w:szCs w:val="36"/>
        </w:rPr>
        <w:t>建设单位（盖章）：</w:t>
      </w:r>
      <w:r>
        <w:rPr>
          <w:rFonts w:hint="eastAsia" w:ascii="FangSong_GB2312" w:eastAsia="FangSong_GB2312"/>
          <w:sz w:val="36"/>
          <w:szCs w:val="36"/>
          <w:u w:val="single"/>
        </w:rPr>
        <w:t xml:space="preserve">黄山市昱城中学     </w:t>
      </w:r>
    </w:p>
    <w:p>
      <w:pPr>
        <w:adjustRightInd w:val="0"/>
        <w:snapToGrid w:val="0"/>
        <w:spacing w:line="288" w:lineRule="auto"/>
        <w:ind w:firstLine="1040"/>
        <w:rPr>
          <w:rFonts w:hint="default" w:ascii="FangSong_GB2312" w:eastAsia="FangSong_GB2312"/>
          <w:sz w:val="36"/>
          <w:szCs w:val="36"/>
          <w:u w:val="single"/>
          <w:lang w:val="en-US" w:eastAsia="zh-CN"/>
        </w:rPr>
      </w:pPr>
      <w:r>
        <w:rPr>
          <w:rFonts w:hint="eastAsia" w:ascii="FangSong_GB2312" w:eastAsia="FangSong_GB2312"/>
          <w:sz w:val="36"/>
          <w:szCs w:val="36"/>
        </w:rPr>
        <w:t>编制日期：</w:t>
      </w:r>
      <w:r>
        <w:rPr>
          <w:rFonts w:hint="eastAsia" w:ascii="FangSong_GB2312" w:eastAsia="FangSong_GB2312"/>
          <w:sz w:val="36"/>
          <w:szCs w:val="36"/>
          <w:u w:val="single"/>
          <w:lang w:val="en-US" w:eastAsia="zh-CN"/>
        </w:rPr>
        <w:t xml:space="preserve">          </w:t>
      </w:r>
      <w:r>
        <w:rPr>
          <w:rFonts w:hint="eastAsia" w:ascii="FangSong_GB2312" w:eastAsia="FangSong_GB2312"/>
          <w:sz w:val="36"/>
          <w:szCs w:val="36"/>
          <w:u w:val="single"/>
        </w:rPr>
        <w:t>2021年</w:t>
      </w:r>
      <w:r>
        <w:rPr>
          <w:rFonts w:hint="eastAsia" w:ascii="FangSong_GB2312" w:eastAsia="FangSong_GB2312"/>
          <w:sz w:val="36"/>
          <w:szCs w:val="36"/>
          <w:u w:val="single"/>
          <w:lang w:val="en-US" w:eastAsia="zh-CN"/>
        </w:rPr>
        <w:t>10</w:t>
      </w:r>
      <w:r>
        <w:rPr>
          <w:rFonts w:hint="eastAsia" w:ascii="FangSong_GB2312" w:eastAsia="FangSong_GB2312"/>
          <w:sz w:val="36"/>
          <w:szCs w:val="36"/>
          <w:u w:val="single"/>
        </w:rPr>
        <w:t>月</w:t>
      </w:r>
      <w:r>
        <w:rPr>
          <w:rFonts w:hint="eastAsia" w:ascii="FangSong_GB2312" w:eastAsia="FangSong_GB2312"/>
          <w:sz w:val="36"/>
          <w:szCs w:val="36"/>
          <w:u w:val="single"/>
          <w:lang w:val="en-US" w:eastAsia="zh-CN"/>
        </w:rPr>
        <w:t xml:space="preserve">      </w:t>
      </w:r>
    </w:p>
    <w:p>
      <w:pPr>
        <w:adjustRightInd w:val="0"/>
        <w:snapToGrid w:val="0"/>
        <w:spacing w:line="288" w:lineRule="auto"/>
        <w:ind w:firstLine="1040"/>
        <w:rPr>
          <w:rFonts w:ascii="FangSong_GB2312" w:eastAsia="FangSong_GB2312"/>
          <w:sz w:val="36"/>
          <w:szCs w:val="36"/>
          <w:u w:val="single"/>
        </w:rPr>
      </w:pPr>
      <w:bookmarkStart w:id="1" w:name="_Hlk57884087"/>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bookmarkEnd w:id="1"/>
    <w:p>
      <w:pPr>
        <w:adjustRightInd w:val="0"/>
        <w:snapToGrid w:val="0"/>
        <w:spacing w:line="288" w:lineRule="auto"/>
        <w:jc w:val="center"/>
        <w:rPr>
          <w:rFonts w:ascii="KaiTi_GB2312" w:eastAsia="KaiTi_GB2312"/>
          <w:sz w:val="36"/>
          <w:szCs w:val="36"/>
        </w:rPr>
      </w:pPr>
      <w:r>
        <w:rPr>
          <w:rFonts w:hint="eastAsia" w:ascii="KaiTi_GB2312" w:eastAsia="KaiTi_GB2312"/>
          <w:sz w:val="36"/>
          <w:szCs w:val="36"/>
        </w:rPr>
        <w:t>中华人民共和国生态环境部制</w:t>
      </w:r>
    </w:p>
    <w:p>
      <w:pPr>
        <w:adjustRightInd w:val="0"/>
        <w:snapToGrid w:val="0"/>
        <w:spacing w:line="288" w:lineRule="auto"/>
        <w:ind w:firstLine="1040"/>
        <w:rPr>
          <w:rFonts w:ascii="FangSong_GB2312" w:eastAsia="FangSong_GB2312"/>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
        <w:rPr>
          <w:sz w:val="24"/>
          <w:szCs w:val="24"/>
        </w:rPr>
      </w:pPr>
      <w:bookmarkStart w:id="2" w:name="_Toc30057"/>
      <w:r>
        <w:t>目录</w:t>
      </w:r>
      <w:bookmarkEnd w:id="2"/>
      <w:r>
        <w:rPr>
          <w:color w:val="auto"/>
          <w:sz w:val="24"/>
        </w:rPr>
        <w:fldChar w:fldCharType="begin"/>
      </w:r>
      <w:r>
        <w:rPr>
          <w:color w:val="auto"/>
          <w:sz w:val="24"/>
        </w:rPr>
        <w:instrText xml:space="preserve">TOC \o "1-1" \h \u </w:instrText>
      </w:r>
      <w:r>
        <w:rPr>
          <w:color w:val="auto"/>
          <w:sz w:val="24"/>
        </w:rPr>
        <w:fldChar w:fldCharType="separate"/>
      </w:r>
    </w:p>
    <w:p>
      <w:pPr>
        <w:pStyle w:val="17"/>
        <w:tabs>
          <w:tab w:val="right" w:leader="dot" w:pos="8844"/>
        </w:tabs>
        <w:spacing w:line="360" w:lineRule="auto"/>
        <w:rPr>
          <w:sz w:val="24"/>
        </w:rPr>
      </w:pPr>
      <w:r>
        <w:fldChar w:fldCharType="begin"/>
      </w:r>
      <w:r>
        <w:instrText xml:space="preserve"> HYPERLINK \l "_Toc30933" </w:instrText>
      </w:r>
      <w:r>
        <w:fldChar w:fldCharType="separate"/>
      </w:r>
      <w:r>
        <w:rPr>
          <w:rFonts w:hint="eastAsia"/>
          <w:sz w:val="24"/>
        </w:rPr>
        <w:t>一、建设项目基本情况</w:t>
      </w:r>
      <w:r>
        <w:rPr>
          <w:sz w:val="24"/>
        </w:rPr>
        <w:tab/>
      </w:r>
      <w:r>
        <w:rPr>
          <w:sz w:val="24"/>
        </w:rPr>
        <w:fldChar w:fldCharType="begin"/>
      </w:r>
      <w:r>
        <w:rPr>
          <w:sz w:val="24"/>
        </w:rPr>
        <w:instrText xml:space="preserve"> PAGEREF _Toc30933 \h </w:instrText>
      </w:r>
      <w:r>
        <w:rPr>
          <w:sz w:val="24"/>
        </w:rPr>
        <w:fldChar w:fldCharType="separate"/>
      </w:r>
      <w:r>
        <w:rPr>
          <w:sz w:val="24"/>
        </w:rPr>
        <w:t>1</w:t>
      </w:r>
      <w:r>
        <w:rPr>
          <w:sz w:val="24"/>
        </w:rPr>
        <w:fldChar w:fldCharType="end"/>
      </w:r>
      <w:r>
        <w:rPr>
          <w:sz w:val="24"/>
        </w:rPr>
        <w:fldChar w:fldCharType="end"/>
      </w:r>
    </w:p>
    <w:p>
      <w:pPr>
        <w:pStyle w:val="17"/>
        <w:tabs>
          <w:tab w:val="right" w:leader="dot" w:pos="8844"/>
        </w:tabs>
        <w:spacing w:line="360" w:lineRule="auto"/>
        <w:rPr>
          <w:sz w:val="24"/>
        </w:rPr>
      </w:pPr>
      <w:r>
        <w:fldChar w:fldCharType="begin"/>
      </w:r>
      <w:r>
        <w:instrText xml:space="preserve"> HYPERLINK \l "_Toc120" </w:instrText>
      </w:r>
      <w:r>
        <w:fldChar w:fldCharType="separate"/>
      </w:r>
      <w:r>
        <w:rPr>
          <w:rFonts w:hint="eastAsia"/>
          <w:sz w:val="24"/>
        </w:rPr>
        <w:t>二、建设项目工程分析</w:t>
      </w:r>
      <w:r>
        <w:rPr>
          <w:sz w:val="24"/>
        </w:rPr>
        <w:tab/>
      </w:r>
      <w:r>
        <w:rPr>
          <w:sz w:val="24"/>
        </w:rPr>
        <w:fldChar w:fldCharType="begin"/>
      </w:r>
      <w:r>
        <w:rPr>
          <w:sz w:val="24"/>
        </w:rPr>
        <w:instrText xml:space="preserve"> PAGEREF _Toc120 \h </w:instrText>
      </w:r>
      <w:r>
        <w:rPr>
          <w:sz w:val="24"/>
        </w:rPr>
        <w:fldChar w:fldCharType="separate"/>
      </w:r>
      <w:r>
        <w:rPr>
          <w:sz w:val="24"/>
        </w:rPr>
        <w:t>5</w:t>
      </w:r>
      <w:r>
        <w:rPr>
          <w:sz w:val="24"/>
        </w:rPr>
        <w:fldChar w:fldCharType="end"/>
      </w:r>
      <w:r>
        <w:rPr>
          <w:sz w:val="24"/>
        </w:rPr>
        <w:fldChar w:fldCharType="end"/>
      </w:r>
    </w:p>
    <w:p>
      <w:pPr>
        <w:pStyle w:val="17"/>
        <w:tabs>
          <w:tab w:val="right" w:leader="dot" w:pos="8844"/>
        </w:tabs>
        <w:spacing w:line="360" w:lineRule="auto"/>
        <w:rPr>
          <w:sz w:val="24"/>
        </w:rPr>
      </w:pPr>
      <w:r>
        <w:fldChar w:fldCharType="begin"/>
      </w:r>
      <w:r>
        <w:instrText xml:space="preserve"> HYPERLINK \l "_Toc16775" </w:instrText>
      </w:r>
      <w:r>
        <w:fldChar w:fldCharType="separate"/>
      </w:r>
      <w:r>
        <w:rPr>
          <w:rFonts w:hint="eastAsia"/>
          <w:sz w:val="24"/>
        </w:rPr>
        <w:t>三、区域环境质量现状、环境保护目标及评价标准</w:t>
      </w:r>
      <w:r>
        <w:rPr>
          <w:sz w:val="24"/>
        </w:rPr>
        <w:tab/>
      </w:r>
      <w:r>
        <w:rPr>
          <w:sz w:val="24"/>
        </w:rPr>
        <w:fldChar w:fldCharType="begin"/>
      </w:r>
      <w:r>
        <w:rPr>
          <w:sz w:val="24"/>
        </w:rPr>
        <w:instrText xml:space="preserve"> PAGEREF _Toc16775 \h </w:instrText>
      </w:r>
      <w:r>
        <w:rPr>
          <w:sz w:val="24"/>
        </w:rPr>
        <w:fldChar w:fldCharType="separate"/>
      </w:r>
      <w:r>
        <w:rPr>
          <w:sz w:val="24"/>
        </w:rPr>
        <w:t>13</w:t>
      </w:r>
      <w:r>
        <w:rPr>
          <w:sz w:val="24"/>
        </w:rPr>
        <w:fldChar w:fldCharType="end"/>
      </w:r>
      <w:r>
        <w:rPr>
          <w:sz w:val="24"/>
        </w:rPr>
        <w:fldChar w:fldCharType="end"/>
      </w:r>
    </w:p>
    <w:p>
      <w:pPr>
        <w:pStyle w:val="17"/>
        <w:tabs>
          <w:tab w:val="right" w:leader="dot" w:pos="8844"/>
        </w:tabs>
        <w:spacing w:line="360" w:lineRule="auto"/>
        <w:rPr>
          <w:sz w:val="24"/>
        </w:rPr>
      </w:pPr>
      <w:r>
        <w:fldChar w:fldCharType="begin"/>
      </w:r>
      <w:r>
        <w:instrText xml:space="preserve"> HYPERLINK \l "_Toc3423" </w:instrText>
      </w:r>
      <w:r>
        <w:fldChar w:fldCharType="separate"/>
      </w:r>
      <w:r>
        <w:rPr>
          <w:rFonts w:hint="eastAsia"/>
          <w:sz w:val="24"/>
        </w:rPr>
        <w:t>四、主要环境影响和保护措施</w:t>
      </w:r>
      <w:r>
        <w:rPr>
          <w:sz w:val="24"/>
        </w:rPr>
        <w:tab/>
      </w:r>
      <w:r>
        <w:rPr>
          <w:sz w:val="24"/>
        </w:rPr>
        <w:fldChar w:fldCharType="begin"/>
      </w:r>
      <w:r>
        <w:rPr>
          <w:sz w:val="24"/>
        </w:rPr>
        <w:instrText xml:space="preserve"> PAGEREF _Toc3423 \h </w:instrText>
      </w:r>
      <w:r>
        <w:rPr>
          <w:sz w:val="24"/>
        </w:rPr>
        <w:fldChar w:fldCharType="separate"/>
      </w:r>
      <w:r>
        <w:rPr>
          <w:sz w:val="24"/>
        </w:rPr>
        <w:t>19</w:t>
      </w:r>
      <w:r>
        <w:rPr>
          <w:sz w:val="24"/>
        </w:rPr>
        <w:fldChar w:fldCharType="end"/>
      </w:r>
      <w:r>
        <w:rPr>
          <w:sz w:val="24"/>
        </w:rPr>
        <w:fldChar w:fldCharType="end"/>
      </w:r>
    </w:p>
    <w:p>
      <w:pPr>
        <w:pStyle w:val="17"/>
        <w:tabs>
          <w:tab w:val="right" w:leader="dot" w:pos="8844"/>
        </w:tabs>
        <w:spacing w:line="360" w:lineRule="auto"/>
        <w:rPr>
          <w:sz w:val="24"/>
        </w:rPr>
      </w:pPr>
      <w:r>
        <w:fldChar w:fldCharType="begin"/>
      </w:r>
      <w:r>
        <w:instrText xml:space="preserve"> HYPERLINK \l "_Toc7227" </w:instrText>
      </w:r>
      <w:r>
        <w:fldChar w:fldCharType="separate"/>
      </w:r>
      <w:r>
        <w:rPr>
          <w:rFonts w:hint="eastAsia"/>
          <w:sz w:val="24"/>
        </w:rPr>
        <w:t>五、环境保护措施监督检查清单</w:t>
      </w:r>
      <w:r>
        <w:rPr>
          <w:sz w:val="24"/>
        </w:rPr>
        <w:tab/>
      </w:r>
      <w:r>
        <w:rPr>
          <w:sz w:val="24"/>
        </w:rPr>
        <w:fldChar w:fldCharType="begin"/>
      </w:r>
      <w:r>
        <w:rPr>
          <w:sz w:val="24"/>
        </w:rPr>
        <w:instrText xml:space="preserve"> PAGEREF _Toc7227 \h </w:instrText>
      </w:r>
      <w:r>
        <w:rPr>
          <w:sz w:val="24"/>
        </w:rPr>
        <w:fldChar w:fldCharType="separate"/>
      </w:r>
      <w:r>
        <w:rPr>
          <w:sz w:val="24"/>
        </w:rPr>
        <w:t>43</w:t>
      </w:r>
      <w:r>
        <w:rPr>
          <w:sz w:val="24"/>
        </w:rPr>
        <w:fldChar w:fldCharType="end"/>
      </w:r>
      <w:r>
        <w:rPr>
          <w:sz w:val="24"/>
        </w:rPr>
        <w:fldChar w:fldCharType="end"/>
      </w:r>
    </w:p>
    <w:p>
      <w:pPr>
        <w:pStyle w:val="17"/>
        <w:tabs>
          <w:tab w:val="right" w:leader="dot" w:pos="8844"/>
        </w:tabs>
        <w:spacing w:line="360" w:lineRule="auto"/>
        <w:rPr>
          <w:sz w:val="24"/>
        </w:rPr>
      </w:pPr>
      <w:r>
        <w:fldChar w:fldCharType="begin"/>
      </w:r>
      <w:r>
        <w:instrText xml:space="preserve"> HYPERLINK \l "_Toc22523" </w:instrText>
      </w:r>
      <w:r>
        <w:fldChar w:fldCharType="separate"/>
      </w:r>
      <w:r>
        <w:rPr>
          <w:rFonts w:hint="eastAsia"/>
          <w:sz w:val="24"/>
        </w:rPr>
        <w:t>六、结论</w:t>
      </w:r>
      <w:r>
        <w:rPr>
          <w:sz w:val="24"/>
        </w:rPr>
        <w:tab/>
      </w:r>
      <w:r>
        <w:rPr>
          <w:sz w:val="24"/>
        </w:rPr>
        <w:fldChar w:fldCharType="begin"/>
      </w:r>
      <w:r>
        <w:rPr>
          <w:sz w:val="24"/>
        </w:rPr>
        <w:instrText xml:space="preserve"> PAGEREF _Toc22523 \h </w:instrText>
      </w:r>
      <w:r>
        <w:rPr>
          <w:sz w:val="24"/>
        </w:rPr>
        <w:fldChar w:fldCharType="separate"/>
      </w:r>
      <w:r>
        <w:rPr>
          <w:sz w:val="24"/>
        </w:rPr>
        <w:t>45</w:t>
      </w:r>
      <w:r>
        <w:rPr>
          <w:sz w:val="24"/>
        </w:rPr>
        <w:fldChar w:fldCharType="end"/>
      </w:r>
      <w:r>
        <w:rPr>
          <w:sz w:val="24"/>
        </w:rPr>
        <w:fldChar w:fldCharType="end"/>
      </w:r>
    </w:p>
    <w:p>
      <w:pPr>
        <w:pStyle w:val="17"/>
        <w:tabs>
          <w:tab w:val="right" w:leader="dot" w:pos="8844"/>
        </w:tabs>
        <w:spacing w:line="360" w:lineRule="auto"/>
        <w:rPr>
          <w:bCs/>
          <w:sz w:val="24"/>
        </w:rPr>
      </w:pPr>
      <w:r>
        <w:rPr>
          <w:sz w:val="24"/>
        </w:rPr>
        <w:fldChar w:fldCharType="begin"/>
      </w:r>
      <w:r>
        <w:rPr>
          <w:sz w:val="24"/>
        </w:rPr>
        <w:instrText xml:space="preserve"> HYPERLINK \l _Toc27924 </w:instrText>
      </w:r>
      <w:r>
        <w:rPr>
          <w:sz w:val="24"/>
        </w:rPr>
        <w:fldChar w:fldCharType="separate"/>
      </w:r>
      <w:r>
        <w:rPr>
          <w:rFonts w:hint="eastAsia"/>
          <w:bCs/>
          <w:sz w:val="24"/>
        </w:rPr>
        <w:t>附图</w:t>
      </w:r>
    </w:p>
    <w:p>
      <w:pPr>
        <w:spacing w:line="360" w:lineRule="auto"/>
        <w:ind w:firstLine="424" w:firstLineChars="177"/>
        <w:rPr>
          <w:sz w:val="24"/>
        </w:rPr>
      </w:pPr>
      <w:r>
        <w:rPr>
          <w:sz w:val="24"/>
        </w:rPr>
        <w:fldChar w:fldCharType="end"/>
      </w:r>
      <w:r>
        <w:rPr>
          <w:sz w:val="24"/>
        </w:rPr>
        <w:t>附图1：项目地理位置图</w:t>
      </w:r>
    </w:p>
    <w:p>
      <w:pPr>
        <w:spacing w:line="360" w:lineRule="auto"/>
        <w:ind w:firstLine="424" w:firstLineChars="177"/>
        <w:rPr>
          <w:sz w:val="24"/>
        </w:rPr>
      </w:pPr>
      <w:r>
        <w:rPr>
          <w:sz w:val="24"/>
        </w:rPr>
        <w:t>附图2：</w:t>
      </w:r>
      <w:r>
        <w:rPr>
          <w:rFonts w:hint="eastAsia"/>
          <w:sz w:val="24"/>
        </w:rPr>
        <w:t>黄山市城市总体规划图</w:t>
      </w:r>
    </w:p>
    <w:p>
      <w:pPr>
        <w:spacing w:line="360" w:lineRule="auto"/>
        <w:ind w:firstLine="424" w:firstLineChars="177"/>
        <w:rPr>
          <w:sz w:val="24"/>
        </w:rPr>
      </w:pPr>
      <w:r>
        <w:rPr>
          <w:rFonts w:hint="eastAsia"/>
          <w:sz w:val="24"/>
        </w:rPr>
        <w:t>附图3：</w:t>
      </w:r>
      <w:r>
        <w:rPr>
          <w:sz w:val="24"/>
        </w:rPr>
        <w:t>项目总平面布局图</w:t>
      </w:r>
    </w:p>
    <w:p>
      <w:pPr>
        <w:spacing w:line="360" w:lineRule="auto"/>
        <w:ind w:firstLine="424" w:firstLineChars="177"/>
        <w:rPr>
          <w:sz w:val="24"/>
        </w:rPr>
      </w:pPr>
      <w:r>
        <w:rPr>
          <w:sz w:val="24"/>
        </w:rPr>
        <w:t>附图</w:t>
      </w:r>
      <w:r>
        <w:rPr>
          <w:rFonts w:hint="eastAsia"/>
          <w:sz w:val="24"/>
        </w:rPr>
        <w:t>4：</w:t>
      </w:r>
      <w:r>
        <w:rPr>
          <w:sz w:val="24"/>
        </w:rPr>
        <w:t>建设项目</w:t>
      </w:r>
      <w:r>
        <w:rPr>
          <w:rFonts w:hint="eastAsia"/>
          <w:sz w:val="24"/>
        </w:rPr>
        <w:t>雨污管网</w:t>
      </w:r>
      <w:r>
        <w:rPr>
          <w:sz w:val="24"/>
        </w:rPr>
        <w:t>图</w:t>
      </w:r>
    </w:p>
    <w:p>
      <w:pPr>
        <w:pStyle w:val="17"/>
        <w:tabs>
          <w:tab w:val="right" w:leader="dot" w:pos="8844"/>
        </w:tabs>
        <w:spacing w:line="360" w:lineRule="auto"/>
        <w:rPr>
          <w:sz w:val="24"/>
        </w:rPr>
      </w:pPr>
    </w:p>
    <w:p>
      <w:pPr>
        <w:pStyle w:val="17"/>
        <w:tabs>
          <w:tab w:val="right" w:leader="dot" w:pos="8844"/>
        </w:tabs>
        <w:spacing w:line="360" w:lineRule="auto"/>
        <w:rPr>
          <w:bCs/>
          <w:sz w:val="24"/>
        </w:rPr>
      </w:pPr>
      <w:r>
        <w:rPr>
          <w:sz w:val="24"/>
        </w:rPr>
        <w:fldChar w:fldCharType="begin"/>
      </w:r>
      <w:r>
        <w:rPr>
          <w:sz w:val="24"/>
        </w:rPr>
        <w:instrText xml:space="preserve"> HYPERLINK \l _Toc20205 </w:instrText>
      </w:r>
      <w:r>
        <w:rPr>
          <w:sz w:val="24"/>
        </w:rPr>
        <w:fldChar w:fldCharType="separate"/>
      </w:r>
      <w:r>
        <w:rPr>
          <w:rFonts w:hint="eastAsia"/>
          <w:bCs/>
          <w:sz w:val="24"/>
        </w:rPr>
        <w:t>附件</w:t>
      </w:r>
    </w:p>
    <w:p>
      <w:pPr>
        <w:pStyle w:val="17"/>
        <w:tabs>
          <w:tab w:val="right" w:leader="dot" w:pos="8844"/>
        </w:tabs>
        <w:spacing w:line="360" w:lineRule="auto"/>
        <w:ind w:firstLine="480" w:firstLineChars="200"/>
        <w:rPr>
          <w:rFonts w:hint="default" w:eastAsia="宋体"/>
          <w:sz w:val="24"/>
          <w:lang w:val="en-US" w:eastAsia="zh-CN"/>
        </w:rPr>
      </w:pPr>
      <w:r>
        <w:rPr>
          <w:sz w:val="24"/>
        </w:rPr>
        <w:fldChar w:fldCharType="end"/>
      </w:r>
      <w:r>
        <w:rPr>
          <w:rFonts w:hint="eastAsia"/>
          <w:sz w:val="24"/>
          <w:lang w:val="en-US" w:eastAsia="zh-CN"/>
        </w:rPr>
        <w:t>附件1：建设项目环境影响评价委托书</w:t>
      </w:r>
    </w:p>
    <w:p>
      <w:pPr>
        <w:pStyle w:val="17"/>
        <w:tabs>
          <w:tab w:val="right" w:leader="dot" w:pos="8844"/>
        </w:tabs>
        <w:spacing w:line="360" w:lineRule="auto"/>
        <w:ind w:firstLine="480" w:firstLineChars="200"/>
        <w:rPr>
          <w:sz w:val="24"/>
        </w:rPr>
      </w:pPr>
      <w:r>
        <w:rPr>
          <w:rFonts w:hint="eastAsia"/>
          <w:sz w:val="24"/>
        </w:rPr>
        <w:t>附件</w:t>
      </w:r>
      <w:r>
        <w:rPr>
          <w:rFonts w:hint="eastAsia"/>
          <w:sz w:val="24"/>
          <w:lang w:val="en-US" w:eastAsia="zh-CN"/>
        </w:rPr>
        <w:t>2</w:t>
      </w:r>
      <w:r>
        <w:rPr>
          <w:rFonts w:hint="eastAsia"/>
          <w:sz w:val="24"/>
        </w:rPr>
        <w:t>：项目备案表</w:t>
      </w:r>
    </w:p>
    <w:p>
      <w:pPr>
        <w:widowControl/>
        <w:spacing w:line="360" w:lineRule="auto"/>
        <w:ind w:firstLine="480" w:firstLineChars="200"/>
        <w:jc w:val="left"/>
      </w:pPr>
      <w:r>
        <w:rPr>
          <w:rFonts w:hint="eastAsia"/>
          <w:sz w:val="24"/>
        </w:rPr>
        <w:t>附件</w:t>
      </w:r>
      <w:r>
        <w:rPr>
          <w:rFonts w:hint="eastAsia"/>
          <w:sz w:val="24"/>
          <w:lang w:val="en-US" w:eastAsia="zh-CN"/>
        </w:rPr>
        <w:t>3</w:t>
      </w:r>
      <w:r>
        <w:rPr>
          <w:rFonts w:hint="eastAsia"/>
          <w:sz w:val="24"/>
        </w:rPr>
        <w:t>：建设项目环境影响</w:t>
      </w:r>
      <w:r>
        <w:rPr>
          <w:rFonts w:hint="eastAsia" w:ascii="宋体" w:hAnsi="宋体" w:cs="宋体"/>
          <w:color w:val="000000"/>
          <w:kern w:val="0"/>
          <w:sz w:val="24"/>
        </w:rPr>
        <w:t>报告表编制情况承诺书</w:t>
      </w:r>
    </w:p>
    <w:p>
      <w:pPr>
        <w:pStyle w:val="17"/>
        <w:tabs>
          <w:tab w:val="right" w:leader="dot" w:pos="8844"/>
        </w:tabs>
        <w:spacing w:line="360" w:lineRule="auto"/>
        <w:ind w:firstLine="480" w:firstLineChars="200"/>
        <w:rPr>
          <w:sz w:val="24"/>
        </w:rPr>
      </w:pPr>
      <w:r>
        <w:rPr>
          <w:rFonts w:hint="eastAsia"/>
          <w:sz w:val="24"/>
        </w:rPr>
        <w:t>附件</w:t>
      </w:r>
      <w:r>
        <w:rPr>
          <w:rFonts w:hint="eastAsia"/>
          <w:sz w:val="24"/>
          <w:lang w:val="en-US" w:eastAsia="zh-CN"/>
        </w:rPr>
        <w:t>4</w:t>
      </w:r>
      <w:r>
        <w:rPr>
          <w:rFonts w:hint="eastAsia"/>
          <w:sz w:val="24"/>
        </w:rPr>
        <w:t>：规划设计方案的批复</w:t>
      </w:r>
    </w:p>
    <w:p>
      <w:pPr>
        <w:pStyle w:val="17"/>
        <w:tabs>
          <w:tab w:val="right" w:leader="dot" w:pos="8844"/>
        </w:tabs>
        <w:spacing w:line="360" w:lineRule="auto"/>
        <w:ind w:firstLine="480" w:firstLineChars="200"/>
        <w:rPr>
          <w:sz w:val="24"/>
        </w:rPr>
      </w:pPr>
      <w:r>
        <w:rPr>
          <w:rFonts w:hint="eastAsia"/>
          <w:sz w:val="24"/>
        </w:rPr>
        <w:t>附件</w:t>
      </w:r>
      <w:r>
        <w:rPr>
          <w:rFonts w:hint="eastAsia"/>
          <w:sz w:val="24"/>
          <w:lang w:val="en-US" w:eastAsia="zh-CN"/>
        </w:rPr>
        <w:t>5</w:t>
      </w:r>
      <w:r>
        <w:rPr>
          <w:rFonts w:hint="eastAsia"/>
          <w:sz w:val="24"/>
        </w:rPr>
        <w:t>：检测报告（声环境）</w:t>
      </w:r>
    </w:p>
    <w:p>
      <w:pPr>
        <w:pStyle w:val="17"/>
        <w:tabs>
          <w:tab w:val="right" w:leader="dot" w:pos="8844"/>
        </w:tabs>
        <w:spacing w:line="360" w:lineRule="auto"/>
        <w:ind w:firstLine="480" w:firstLineChars="200"/>
        <w:rPr>
          <w:sz w:val="24"/>
        </w:rPr>
      </w:pPr>
      <w:r>
        <w:rPr>
          <w:rFonts w:hint="eastAsia"/>
          <w:sz w:val="24"/>
        </w:rPr>
        <w:t>附件</w:t>
      </w:r>
      <w:r>
        <w:rPr>
          <w:rFonts w:hint="eastAsia"/>
          <w:sz w:val="24"/>
          <w:lang w:val="en-US" w:eastAsia="zh-CN"/>
        </w:rPr>
        <w:t>6</w:t>
      </w:r>
      <w:r>
        <w:rPr>
          <w:rFonts w:hint="eastAsia"/>
          <w:sz w:val="24"/>
        </w:rPr>
        <w:t>：执行标准确认函</w:t>
      </w:r>
    </w:p>
    <w:p>
      <w:pPr>
        <w:pStyle w:val="17"/>
        <w:tabs>
          <w:tab w:val="right" w:leader="dot" w:pos="8844"/>
        </w:tabs>
        <w:spacing w:line="360" w:lineRule="auto"/>
        <w:ind w:firstLine="480" w:firstLineChars="200"/>
        <w:rPr>
          <w:sz w:val="24"/>
        </w:rPr>
      </w:pPr>
      <w:r>
        <w:rPr>
          <w:rFonts w:hint="eastAsia"/>
          <w:sz w:val="24"/>
        </w:rPr>
        <w:t>附件</w:t>
      </w:r>
      <w:r>
        <w:rPr>
          <w:rFonts w:hint="eastAsia"/>
          <w:sz w:val="24"/>
          <w:lang w:val="en-US" w:eastAsia="zh-CN"/>
        </w:rPr>
        <w:t>7</w:t>
      </w:r>
      <w:r>
        <w:rPr>
          <w:rFonts w:hint="eastAsia"/>
          <w:sz w:val="24"/>
        </w:rPr>
        <w:t>：污水处理协议</w:t>
      </w:r>
    </w:p>
    <w:p>
      <w:pPr>
        <w:pStyle w:val="17"/>
        <w:tabs>
          <w:tab w:val="right" w:leader="dot" w:pos="8844"/>
        </w:tabs>
        <w:spacing w:line="360" w:lineRule="auto"/>
        <w:rPr>
          <w:rFonts w:ascii="宋体" w:hAnsi="宋体" w:cs="宋体"/>
          <w:sz w:val="24"/>
        </w:rPr>
      </w:pPr>
      <w:r>
        <w:fldChar w:fldCharType="begin"/>
      </w:r>
      <w:r>
        <w:instrText xml:space="preserve"> HYPERLINK \l "_Toc16313" </w:instrText>
      </w:r>
      <w:r>
        <w:fldChar w:fldCharType="separate"/>
      </w:r>
      <w:r>
        <w:rPr>
          <w:rFonts w:hint="eastAsia" w:ascii="宋体" w:hAnsi="宋体" w:cs="宋体"/>
          <w:snapToGrid w:val="0"/>
          <w:sz w:val="24"/>
        </w:rPr>
        <w:t>附表</w:t>
      </w:r>
      <w:r>
        <w:rPr>
          <w:rFonts w:hint="eastAsia" w:ascii="宋体" w:hAnsi="宋体" w:cs="宋体"/>
          <w:snapToGrid w:val="0"/>
          <w:sz w:val="24"/>
        </w:rPr>
        <w:fldChar w:fldCharType="end"/>
      </w:r>
    </w:p>
    <w:p>
      <w:pPr>
        <w:pStyle w:val="17"/>
        <w:tabs>
          <w:tab w:val="right" w:leader="dot" w:pos="8844"/>
        </w:tabs>
        <w:spacing w:line="360" w:lineRule="auto"/>
        <w:ind w:firstLine="420" w:firstLineChars="200"/>
        <w:rPr>
          <w:rFonts w:ascii="宋体" w:hAnsi="宋体" w:cs="宋体"/>
          <w:sz w:val="24"/>
        </w:rPr>
      </w:pPr>
      <w:r>
        <w:fldChar w:fldCharType="begin"/>
      </w:r>
      <w:r>
        <w:instrText xml:space="preserve"> HYPERLINK \l "_Toc7817" </w:instrText>
      </w:r>
      <w:r>
        <w:fldChar w:fldCharType="separate"/>
      </w:r>
      <w:r>
        <w:rPr>
          <w:rFonts w:hint="eastAsia" w:ascii="宋体" w:hAnsi="宋体" w:cs="宋体"/>
          <w:snapToGrid w:val="0"/>
          <w:sz w:val="24"/>
        </w:rPr>
        <w:t>建设项目污染物排放量汇总表</w:t>
      </w:r>
      <w:r>
        <w:rPr>
          <w:rFonts w:hint="eastAsia" w:ascii="宋体" w:hAnsi="宋体" w:cs="宋体"/>
          <w:snapToGrid w:val="0"/>
          <w:sz w:val="24"/>
        </w:rPr>
        <w:fldChar w:fldCharType="end"/>
      </w:r>
    </w:p>
    <w:p>
      <w:p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fldChar w:fldCharType="end"/>
      </w:r>
    </w:p>
    <w:p>
      <w:pPr>
        <w:pStyle w:val="3"/>
      </w:pPr>
      <w:bookmarkStart w:id="3" w:name="_Toc30933"/>
      <w:r>
        <w:rPr>
          <w:rFonts w:hint="eastAsia"/>
        </w:rPr>
        <w:t>一、建设项目基本情况</w:t>
      </w:r>
      <w:bookmarkEnd w:id="3"/>
    </w:p>
    <w:tbl>
      <w:tblPr>
        <w:tblStyle w:val="2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73"/>
        <w:gridCol w:w="1746"/>
        <w:gridCol w:w="2077"/>
        <w:gridCol w:w="2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建设项目名称</w:t>
            </w:r>
          </w:p>
        </w:tc>
        <w:tc>
          <w:tcPr>
            <w:tcW w:w="6597" w:type="dxa"/>
            <w:gridSpan w:val="3"/>
            <w:vAlign w:val="center"/>
          </w:tcPr>
          <w:p>
            <w:pPr>
              <w:adjustRightInd w:val="0"/>
              <w:snapToGrid w:val="0"/>
              <w:jc w:val="center"/>
              <w:rPr>
                <w:sz w:val="24"/>
              </w:rPr>
            </w:pPr>
            <w:r>
              <w:rPr>
                <w:sz w:val="24"/>
              </w:rPr>
              <w:t>黄山市昱城中学分校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项目代码</w:t>
            </w:r>
          </w:p>
        </w:tc>
        <w:tc>
          <w:tcPr>
            <w:tcW w:w="6597" w:type="dxa"/>
            <w:gridSpan w:val="3"/>
            <w:vAlign w:val="center"/>
          </w:tcPr>
          <w:p>
            <w:pPr>
              <w:adjustRightInd w:val="0"/>
              <w:snapToGrid w:val="0"/>
              <w:jc w:val="center"/>
              <w:rPr>
                <w:sz w:val="24"/>
              </w:rPr>
            </w:pPr>
            <w:r>
              <w:rPr>
                <w:sz w:val="24"/>
              </w:rPr>
              <w:t>2019-341000-83-03-004146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建设单位联系人</w:t>
            </w:r>
          </w:p>
        </w:tc>
        <w:tc>
          <w:tcPr>
            <w:tcW w:w="1746" w:type="dxa"/>
            <w:vAlign w:val="center"/>
          </w:tcPr>
          <w:p>
            <w:pPr>
              <w:adjustRightInd w:val="0"/>
              <w:snapToGrid w:val="0"/>
              <w:jc w:val="center"/>
              <w:rPr>
                <w:sz w:val="24"/>
              </w:rPr>
            </w:pPr>
          </w:p>
        </w:tc>
        <w:tc>
          <w:tcPr>
            <w:tcW w:w="2077" w:type="dxa"/>
            <w:vAlign w:val="center"/>
          </w:tcPr>
          <w:p>
            <w:pPr>
              <w:adjustRightInd w:val="0"/>
              <w:snapToGrid w:val="0"/>
              <w:jc w:val="center"/>
              <w:rPr>
                <w:sz w:val="24"/>
              </w:rPr>
            </w:pPr>
            <w:r>
              <w:rPr>
                <w:sz w:val="24"/>
              </w:rPr>
              <w:t>联系方式</w:t>
            </w:r>
          </w:p>
        </w:tc>
        <w:tc>
          <w:tcPr>
            <w:tcW w:w="2774" w:type="dxa"/>
            <w:vAlign w:val="center"/>
          </w:tcPr>
          <w:p>
            <w:pPr>
              <w:adjustRightInd w:val="0"/>
              <w:snapToGrid w:val="0"/>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建设地点</w:t>
            </w:r>
          </w:p>
        </w:tc>
        <w:tc>
          <w:tcPr>
            <w:tcW w:w="6597" w:type="dxa"/>
            <w:gridSpan w:val="3"/>
            <w:vAlign w:val="center"/>
          </w:tcPr>
          <w:p>
            <w:pPr>
              <w:adjustRightInd w:val="0"/>
              <w:snapToGrid w:val="0"/>
              <w:jc w:val="center"/>
              <w:rPr>
                <w:sz w:val="24"/>
              </w:rPr>
            </w:pPr>
            <w:r>
              <w:rPr>
                <w:color w:val="auto"/>
                <w:sz w:val="24"/>
                <w:shd w:val="clear" w:color="auto" w:fill="auto"/>
              </w:rPr>
              <w:t>安徽省黄山市屯溪区祁门路蕉充安置小区一期北侧</w:t>
            </w:r>
            <w:r>
              <w:rPr>
                <w:color w:val="0000FF"/>
                <w:sz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地理坐标</w:t>
            </w:r>
          </w:p>
        </w:tc>
        <w:tc>
          <w:tcPr>
            <w:tcW w:w="6597" w:type="dxa"/>
            <w:gridSpan w:val="3"/>
            <w:vAlign w:val="center"/>
          </w:tcPr>
          <w:p>
            <w:pPr>
              <w:jc w:val="center"/>
              <w:rPr>
                <w:sz w:val="24"/>
              </w:rPr>
            </w:pPr>
            <w:r>
              <w:rPr>
                <w:sz w:val="24"/>
              </w:rPr>
              <w:t>（</w:t>
            </w:r>
            <w:r>
              <w:rPr>
                <w:sz w:val="24"/>
                <w:u w:val="single"/>
              </w:rPr>
              <w:t xml:space="preserve">  118 </w:t>
            </w:r>
            <w:r>
              <w:rPr>
                <w:sz w:val="24"/>
              </w:rPr>
              <w:t>度</w:t>
            </w:r>
            <w:r>
              <w:rPr>
                <w:sz w:val="24"/>
                <w:u w:val="single"/>
              </w:rPr>
              <w:t xml:space="preserve">  15  </w:t>
            </w:r>
            <w:r>
              <w:rPr>
                <w:sz w:val="24"/>
              </w:rPr>
              <w:t>分</w:t>
            </w:r>
            <w:r>
              <w:rPr>
                <w:rFonts w:hint="eastAsia"/>
                <w:sz w:val="24"/>
                <w:u w:val="single"/>
                <w:lang w:val="en-US" w:eastAsia="zh-CN"/>
              </w:rPr>
              <w:t>25.961</w:t>
            </w:r>
            <w:r>
              <w:rPr>
                <w:sz w:val="24"/>
              </w:rPr>
              <w:t>秒，</w:t>
            </w:r>
            <w:r>
              <w:rPr>
                <w:sz w:val="24"/>
                <w:u w:val="single"/>
              </w:rPr>
              <w:t xml:space="preserve">  29  </w:t>
            </w:r>
            <w:r>
              <w:rPr>
                <w:sz w:val="24"/>
              </w:rPr>
              <w:t>度</w:t>
            </w:r>
            <w:r>
              <w:rPr>
                <w:sz w:val="24"/>
                <w:u w:val="single"/>
              </w:rPr>
              <w:t xml:space="preserve">  4</w:t>
            </w:r>
            <w:r>
              <w:rPr>
                <w:rFonts w:hint="eastAsia"/>
                <w:sz w:val="24"/>
                <w:u w:val="single"/>
                <w:lang w:val="en-US" w:eastAsia="zh-CN"/>
              </w:rPr>
              <w:t>7</w:t>
            </w:r>
            <w:r>
              <w:rPr>
                <w:sz w:val="24"/>
                <w:u w:val="single"/>
              </w:rPr>
              <w:t xml:space="preserve">  </w:t>
            </w:r>
            <w:r>
              <w:rPr>
                <w:sz w:val="24"/>
              </w:rPr>
              <w:t>分</w:t>
            </w:r>
            <w:r>
              <w:rPr>
                <w:rFonts w:hint="eastAsia"/>
                <w:sz w:val="24"/>
                <w:u w:val="single"/>
                <w:lang w:val="en-US" w:eastAsia="zh-CN"/>
              </w:rPr>
              <w:t>6.754</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746" w:type="dxa"/>
            <w:vAlign w:val="center"/>
          </w:tcPr>
          <w:p>
            <w:pPr>
              <w:adjustRightInd w:val="0"/>
              <w:snapToGrid w:val="0"/>
              <w:jc w:val="center"/>
              <w:rPr>
                <w:sz w:val="24"/>
              </w:rPr>
            </w:pPr>
            <w:r>
              <w:rPr>
                <w:sz w:val="24"/>
              </w:rPr>
              <w:t>P8331普通初中教育</w:t>
            </w:r>
          </w:p>
        </w:tc>
        <w:tc>
          <w:tcPr>
            <w:tcW w:w="2077" w:type="dxa"/>
            <w:vAlign w:val="center"/>
          </w:tcPr>
          <w:p>
            <w:pPr>
              <w:adjustRightInd w:val="0"/>
              <w:snapToGrid w:val="0"/>
              <w:jc w:val="center"/>
              <w:rPr>
                <w:sz w:val="24"/>
              </w:rPr>
            </w:pPr>
            <w:bookmarkStart w:id="4" w:name="_Hlk49843745"/>
            <w:r>
              <w:rPr>
                <w:sz w:val="24"/>
              </w:rPr>
              <w:t>建设项目</w:t>
            </w:r>
          </w:p>
          <w:p>
            <w:pPr>
              <w:adjustRightInd w:val="0"/>
              <w:snapToGrid w:val="0"/>
              <w:jc w:val="center"/>
              <w:rPr>
                <w:sz w:val="24"/>
              </w:rPr>
            </w:pPr>
            <w:r>
              <w:rPr>
                <w:sz w:val="24"/>
              </w:rPr>
              <w:t>行业类别</w:t>
            </w:r>
            <w:bookmarkEnd w:id="4"/>
          </w:p>
        </w:tc>
        <w:tc>
          <w:tcPr>
            <w:tcW w:w="2774" w:type="dxa"/>
            <w:vAlign w:val="center"/>
          </w:tcPr>
          <w:p>
            <w:pPr>
              <w:pStyle w:val="10"/>
              <w:rPr>
                <w:lang w:val="en-US" w:eastAsia="zh-CN"/>
              </w:rPr>
            </w:pPr>
            <w:r>
              <w:rPr>
                <w:rFonts w:hint="eastAsia"/>
                <w:lang w:val="en-US" w:eastAsia="zh-CN"/>
              </w:rPr>
              <w:t>五十、社会事业与服务业：</w:t>
            </w:r>
          </w:p>
          <w:p>
            <w:pPr>
              <w:adjustRightInd w:val="0"/>
              <w:snapToGrid w:val="0"/>
              <w:rPr>
                <w:sz w:val="24"/>
              </w:rPr>
            </w:pPr>
            <w:r>
              <w:rPr>
                <w:rFonts w:hint="eastAsia"/>
                <w:sz w:val="24"/>
              </w:rPr>
              <w:t>110.学校、福利院、养老院（建筑面积5000平方米及以上的）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建设性质</w:t>
            </w:r>
          </w:p>
        </w:tc>
        <w:tc>
          <w:tcPr>
            <w:tcW w:w="1746" w:type="dxa"/>
            <w:vAlign w:val="center"/>
          </w:tcPr>
          <w:p>
            <w:pPr>
              <w:jc w:val="left"/>
              <w:rPr>
                <w:sz w:val="24"/>
              </w:rPr>
            </w:pPr>
            <w:r>
              <w:rPr>
                <w:sz w:val="24"/>
              </w:rPr>
              <w:sym w:font="Wingdings 2" w:char="0052"/>
            </w:r>
            <w:r>
              <w:rPr>
                <w:sz w:val="24"/>
              </w:rPr>
              <w:t>新建（迁建）</w:t>
            </w:r>
          </w:p>
          <w:p>
            <w:pPr>
              <w:jc w:val="left"/>
              <w:rPr>
                <w:sz w:val="24"/>
              </w:rPr>
            </w:pPr>
            <w:r>
              <w:rPr>
                <w:sz w:val="24"/>
              </w:rPr>
              <w:t>□改建</w:t>
            </w:r>
          </w:p>
          <w:p>
            <w:pPr>
              <w:jc w:val="left"/>
              <w:rPr>
                <w:sz w:val="24"/>
              </w:rPr>
            </w:pPr>
            <w:r>
              <w:rPr>
                <w:sz w:val="24"/>
              </w:rPr>
              <w:t>□扩建</w:t>
            </w:r>
          </w:p>
          <w:p>
            <w:pPr>
              <w:jc w:val="left"/>
              <w:rPr>
                <w:sz w:val="24"/>
              </w:rPr>
            </w:pPr>
            <w:r>
              <w:rPr>
                <w:sz w:val="24"/>
              </w:rPr>
              <w:t>□技术改造</w:t>
            </w:r>
          </w:p>
        </w:tc>
        <w:tc>
          <w:tcPr>
            <w:tcW w:w="2077"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774" w:type="dxa"/>
            <w:vAlign w:val="center"/>
          </w:tcPr>
          <w:p>
            <w:pPr>
              <w:jc w:val="left"/>
              <w:rPr>
                <w:sz w:val="24"/>
              </w:rPr>
            </w:pPr>
            <w:r>
              <w:rPr>
                <w:sz w:val="24"/>
              </w:rPr>
              <w:sym w:font="Wingdings 2" w:char="0052"/>
            </w:r>
            <w:r>
              <w:rPr>
                <w:sz w:val="24"/>
              </w:rPr>
              <w:t xml:space="preserve">首次申报项目             </w:t>
            </w:r>
          </w:p>
          <w:p>
            <w:pPr>
              <w:jc w:val="left"/>
              <w:rPr>
                <w:sz w:val="24"/>
              </w:rPr>
            </w:pPr>
            <w:r>
              <w:rPr>
                <w:sz w:val="24"/>
              </w:rPr>
              <w:t>□不予批准后再次申报项目</w:t>
            </w:r>
          </w:p>
          <w:p>
            <w:pPr>
              <w:jc w:val="left"/>
              <w:rPr>
                <w:sz w:val="24"/>
              </w:rPr>
            </w:pPr>
            <w:r>
              <w:rPr>
                <w:sz w:val="24"/>
              </w:rPr>
              <w:sym w:font="Wingdings 2" w:char="00A3"/>
            </w:r>
            <w:r>
              <w:rPr>
                <w:sz w:val="24"/>
              </w:rPr>
              <w:t xml:space="preserve">超五年重新审核项目     </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746" w:type="dxa"/>
            <w:vAlign w:val="center"/>
          </w:tcPr>
          <w:p>
            <w:pPr>
              <w:adjustRightInd w:val="0"/>
              <w:snapToGrid w:val="0"/>
              <w:jc w:val="center"/>
              <w:rPr>
                <w:sz w:val="24"/>
              </w:rPr>
            </w:pPr>
            <w:r>
              <w:rPr>
                <w:rFonts w:hint="eastAsia"/>
                <w:sz w:val="24"/>
              </w:rPr>
              <w:t>黄山市</w:t>
            </w:r>
            <w:r>
              <w:rPr>
                <w:sz w:val="24"/>
              </w:rPr>
              <w:t>发改委</w:t>
            </w:r>
          </w:p>
        </w:tc>
        <w:tc>
          <w:tcPr>
            <w:tcW w:w="2077"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774" w:type="dxa"/>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总投资（万元）</w:t>
            </w:r>
          </w:p>
        </w:tc>
        <w:tc>
          <w:tcPr>
            <w:tcW w:w="1746" w:type="dxa"/>
            <w:vAlign w:val="center"/>
          </w:tcPr>
          <w:p>
            <w:pPr>
              <w:adjustRightInd w:val="0"/>
              <w:snapToGrid w:val="0"/>
              <w:jc w:val="center"/>
              <w:rPr>
                <w:sz w:val="24"/>
              </w:rPr>
            </w:pPr>
            <w:r>
              <w:rPr>
                <w:rFonts w:hint="eastAsia"/>
                <w:sz w:val="24"/>
              </w:rPr>
              <w:t>8000</w:t>
            </w:r>
          </w:p>
        </w:tc>
        <w:tc>
          <w:tcPr>
            <w:tcW w:w="2077" w:type="dxa"/>
            <w:tcMar>
              <w:top w:w="16" w:type="dxa"/>
              <w:left w:w="16" w:type="dxa"/>
              <w:right w:w="16" w:type="dxa"/>
            </w:tcMar>
            <w:vAlign w:val="center"/>
          </w:tcPr>
          <w:p>
            <w:pPr>
              <w:adjustRightInd w:val="0"/>
              <w:snapToGrid w:val="0"/>
              <w:jc w:val="center"/>
              <w:rPr>
                <w:sz w:val="24"/>
              </w:rPr>
            </w:pPr>
            <w:r>
              <w:rPr>
                <w:sz w:val="24"/>
              </w:rPr>
              <w:t>环保投资（万元）</w:t>
            </w:r>
          </w:p>
        </w:tc>
        <w:tc>
          <w:tcPr>
            <w:tcW w:w="2774" w:type="dxa"/>
            <w:vAlign w:val="center"/>
          </w:tcPr>
          <w:p>
            <w:pPr>
              <w:adjustRightInd w:val="0"/>
              <w:snapToGrid w:val="0"/>
              <w:jc w:val="center"/>
              <w:rPr>
                <w:sz w:val="24"/>
              </w:rPr>
            </w:pPr>
            <w:r>
              <w:rPr>
                <w:rFonts w:hint="eastAsia"/>
                <w:sz w:val="24"/>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环保投资占比（%）</w:t>
            </w:r>
          </w:p>
        </w:tc>
        <w:tc>
          <w:tcPr>
            <w:tcW w:w="1746" w:type="dxa"/>
            <w:vAlign w:val="center"/>
          </w:tcPr>
          <w:p>
            <w:pPr>
              <w:adjustRightInd w:val="0"/>
              <w:snapToGrid w:val="0"/>
              <w:jc w:val="center"/>
              <w:rPr>
                <w:sz w:val="24"/>
              </w:rPr>
            </w:pPr>
            <w:r>
              <w:rPr>
                <w:rFonts w:hint="eastAsia"/>
                <w:sz w:val="24"/>
              </w:rPr>
              <w:t>0.85%</w:t>
            </w:r>
          </w:p>
        </w:tc>
        <w:tc>
          <w:tcPr>
            <w:tcW w:w="2077" w:type="dxa"/>
            <w:tcMar>
              <w:top w:w="16" w:type="dxa"/>
              <w:left w:w="16" w:type="dxa"/>
              <w:right w:w="16" w:type="dxa"/>
            </w:tcMar>
            <w:vAlign w:val="center"/>
          </w:tcPr>
          <w:p>
            <w:pPr>
              <w:adjustRightInd w:val="0"/>
              <w:snapToGrid w:val="0"/>
              <w:jc w:val="center"/>
              <w:rPr>
                <w:sz w:val="24"/>
              </w:rPr>
            </w:pPr>
            <w:r>
              <w:rPr>
                <w:sz w:val="24"/>
              </w:rPr>
              <w:t>施工工期</w:t>
            </w:r>
          </w:p>
        </w:tc>
        <w:tc>
          <w:tcPr>
            <w:tcW w:w="2774" w:type="dxa"/>
            <w:vAlign w:val="center"/>
          </w:tcPr>
          <w:p>
            <w:pPr>
              <w:adjustRightInd w:val="0"/>
              <w:snapToGrid w:val="0"/>
              <w:jc w:val="center"/>
              <w:rPr>
                <w:sz w:val="24"/>
              </w:rPr>
            </w:pPr>
            <w:r>
              <w:rPr>
                <w:rFonts w:hint="eastAsia"/>
                <w:sz w:val="24"/>
              </w:rPr>
              <w:t>2021年10月-2022年9月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3" w:type="dxa"/>
            <w:tcMar>
              <w:top w:w="16" w:type="dxa"/>
              <w:left w:w="16" w:type="dxa"/>
              <w:right w:w="16" w:type="dxa"/>
            </w:tcMar>
            <w:vAlign w:val="center"/>
          </w:tcPr>
          <w:p>
            <w:pPr>
              <w:adjustRightInd w:val="0"/>
              <w:snapToGrid w:val="0"/>
              <w:jc w:val="center"/>
              <w:rPr>
                <w:sz w:val="24"/>
              </w:rPr>
            </w:pPr>
            <w:r>
              <w:rPr>
                <w:sz w:val="24"/>
              </w:rPr>
              <w:t>是否开工建设</w:t>
            </w:r>
          </w:p>
        </w:tc>
        <w:tc>
          <w:tcPr>
            <w:tcW w:w="1746" w:type="dxa"/>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sym w:font="Wingdings 2" w:char="00A3"/>
            </w:r>
            <w:r>
              <w:rPr>
                <w:sz w:val="24"/>
              </w:rPr>
              <w:t>是：</w:t>
            </w:r>
          </w:p>
        </w:tc>
        <w:tc>
          <w:tcPr>
            <w:tcW w:w="2077"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774" w:type="dxa"/>
            <w:vAlign w:val="center"/>
          </w:tcPr>
          <w:p>
            <w:pPr>
              <w:adjustRightInd w:val="0"/>
              <w:snapToGrid w:val="0"/>
              <w:jc w:val="center"/>
              <w:rPr>
                <w:sz w:val="24"/>
              </w:rPr>
            </w:pPr>
            <w:r>
              <w:rPr>
                <w:rFonts w:hint="eastAsia"/>
                <w:sz w:val="24"/>
              </w:rPr>
              <w:t>25146.7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273" w:type="dxa"/>
            <w:vAlign w:val="center"/>
          </w:tcPr>
          <w:p>
            <w:pPr>
              <w:autoSpaceDE w:val="0"/>
              <w:autoSpaceDN w:val="0"/>
              <w:adjustRightInd w:val="0"/>
              <w:snapToGrid w:val="0"/>
              <w:jc w:val="center"/>
              <w:rPr>
                <w:kern w:val="0"/>
                <w:sz w:val="24"/>
              </w:rPr>
            </w:pPr>
            <w:r>
              <w:rPr>
                <w:kern w:val="0"/>
                <w:sz w:val="24"/>
              </w:rPr>
              <w:t>专项评价设置情况</w:t>
            </w:r>
          </w:p>
        </w:tc>
        <w:tc>
          <w:tcPr>
            <w:tcW w:w="6597" w:type="dxa"/>
            <w:gridSpan w:val="3"/>
            <w:vAlign w:val="center"/>
          </w:tcPr>
          <w:p>
            <w:pPr>
              <w:pStyle w:val="2"/>
              <w:ind w:firstLine="480"/>
              <w:rPr>
                <w:szCs w:val="24"/>
                <w:lang w:val="en-US" w:eastAsia="zh-CN"/>
              </w:rPr>
            </w:pPr>
            <w:r>
              <w:rPr>
                <w:rFonts w:hint="eastAsia"/>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3" w:type="dxa"/>
            <w:shd w:val="clear" w:color="auto" w:fill="auto"/>
            <w:vAlign w:val="center"/>
          </w:tcPr>
          <w:p>
            <w:pPr>
              <w:autoSpaceDE w:val="0"/>
              <w:autoSpaceDN w:val="0"/>
              <w:adjustRightInd w:val="0"/>
              <w:snapToGrid w:val="0"/>
              <w:jc w:val="center"/>
              <w:rPr>
                <w:kern w:val="0"/>
                <w:sz w:val="24"/>
              </w:rPr>
            </w:pPr>
            <w:r>
              <w:rPr>
                <w:sz w:val="24"/>
              </w:rPr>
              <w:t>规划情况</w:t>
            </w:r>
          </w:p>
        </w:tc>
        <w:tc>
          <w:tcPr>
            <w:tcW w:w="6597" w:type="dxa"/>
            <w:gridSpan w:val="3"/>
            <w:shd w:val="clear" w:color="auto" w:fill="auto"/>
            <w:vAlign w:val="center"/>
          </w:tcPr>
          <w:tbl>
            <w:tblPr>
              <w:tblStyle w:val="21"/>
              <w:tblW w:w="645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2029"/>
              <w:gridCol w:w="2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0"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b/>
                      <w:bCs/>
                      <w:szCs w:val="21"/>
                    </w:rPr>
                    <w:t>规划名称</w:t>
                  </w:r>
                </w:p>
              </w:tc>
              <w:tc>
                <w:tcPr>
                  <w:tcW w:w="2029"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b/>
                      <w:bCs/>
                      <w:szCs w:val="21"/>
                    </w:rPr>
                    <w:t>审批机关</w:t>
                  </w:r>
                </w:p>
              </w:tc>
              <w:tc>
                <w:tcPr>
                  <w:tcW w:w="2273"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b/>
                      <w:bCs/>
                      <w:szCs w:val="21"/>
                    </w:rPr>
                    <w:t>审批文件名称及文号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0"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rFonts w:hint="eastAsia"/>
                      <w:szCs w:val="21"/>
                    </w:rPr>
                    <w:t>《</w:t>
                  </w:r>
                  <w:r>
                    <w:rPr>
                      <w:szCs w:val="21"/>
                    </w:rPr>
                    <w:t>黄山市城市总体规划（2008—2030年）（2018年修改）》</w:t>
                  </w:r>
                </w:p>
              </w:tc>
              <w:tc>
                <w:tcPr>
                  <w:tcW w:w="2029"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szCs w:val="21"/>
                    </w:rPr>
                    <w:t>安徽省人民政府</w:t>
                  </w:r>
                </w:p>
              </w:tc>
              <w:tc>
                <w:tcPr>
                  <w:tcW w:w="2273" w:type="dxa"/>
                  <w:tcBorders>
                    <w:tl2br w:val="nil"/>
                    <w:tr2bl w:val="nil"/>
                  </w:tcBorders>
                  <w:shd w:val="clear" w:color="auto" w:fill="auto"/>
                  <w:vAlign w:val="center"/>
                </w:tcPr>
                <w:p>
                  <w:pPr>
                    <w:autoSpaceDE w:val="0"/>
                    <w:autoSpaceDN w:val="0"/>
                    <w:adjustRightInd w:val="0"/>
                    <w:snapToGrid w:val="0"/>
                    <w:jc w:val="center"/>
                    <w:rPr>
                      <w:b/>
                      <w:bCs/>
                      <w:kern w:val="0"/>
                      <w:szCs w:val="21"/>
                    </w:rPr>
                  </w:pPr>
                  <w:r>
                    <w:rPr>
                      <w:szCs w:val="21"/>
                    </w:rPr>
                    <w:t>《关于安徽省人民政府关于黄山市城市总体规划（2008—2030年）（2018年修改）批复》（皖政秘〔2019〕227号）</w:t>
                  </w:r>
                </w:p>
              </w:tc>
            </w:tr>
          </w:tbl>
          <w:p>
            <w:pPr>
              <w:pStyle w:val="13"/>
              <w:spacing w:after="0" w:line="360" w:lineRule="auto"/>
              <w:ind w:left="0" w:leftChars="0" w:firstLine="400" w:firstLineChars="20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3"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6597" w:type="dxa"/>
            <w:gridSpan w:val="3"/>
            <w:vAlign w:val="center"/>
          </w:tcPr>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16"/>
              <w:gridCol w:w="21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0" w:type="dxa"/>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val="0"/>
                    <w:snapToGrid/>
                    <w:spacing w:before="32" w:beforeLines="10"/>
                    <w:jc w:val="center"/>
                    <w:textAlignment w:val="auto"/>
                    <w:rPr>
                      <w:b/>
                      <w:bCs/>
                      <w:kern w:val="0"/>
                      <w:szCs w:val="21"/>
                    </w:rPr>
                  </w:pPr>
                  <w:r>
                    <w:rPr>
                      <w:b/>
                      <w:bCs/>
                      <w:szCs w:val="21"/>
                    </w:rPr>
                    <w:t>规划</w:t>
                  </w:r>
                  <w:r>
                    <w:rPr>
                      <w:rFonts w:hint="eastAsia"/>
                      <w:b/>
                      <w:bCs/>
                      <w:szCs w:val="21"/>
                    </w:rPr>
                    <w:t>环评</w:t>
                  </w:r>
                  <w:r>
                    <w:rPr>
                      <w:b/>
                      <w:bCs/>
                      <w:szCs w:val="21"/>
                    </w:rPr>
                    <w:t>名称</w:t>
                  </w:r>
                </w:p>
              </w:tc>
              <w:tc>
                <w:tcPr>
                  <w:tcW w:w="2016" w:type="dxa"/>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val="0"/>
                    <w:snapToGrid/>
                    <w:spacing w:before="32" w:beforeLines="10"/>
                    <w:jc w:val="center"/>
                    <w:textAlignment w:val="auto"/>
                    <w:rPr>
                      <w:b/>
                      <w:bCs/>
                      <w:kern w:val="0"/>
                      <w:szCs w:val="21"/>
                    </w:rPr>
                  </w:pPr>
                  <w:r>
                    <w:rPr>
                      <w:b/>
                      <w:bCs/>
                      <w:szCs w:val="21"/>
                    </w:rPr>
                    <w:t>审批机关</w:t>
                  </w:r>
                </w:p>
              </w:tc>
              <w:tc>
                <w:tcPr>
                  <w:tcW w:w="2166" w:type="dxa"/>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val="0"/>
                    <w:snapToGrid/>
                    <w:spacing w:before="32" w:beforeLines="10"/>
                    <w:jc w:val="center"/>
                    <w:textAlignment w:val="auto"/>
                    <w:rPr>
                      <w:b/>
                      <w:bCs/>
                      <w:kern w:val="0"/>
                      <w:szCs w:val="21"/>
                    </w:rPr>
                  </w:pPr>
                  <w:r>
                    <w:rPr>
                      <w:b/>
                      <w:bCs/>
                      <w:szCs w:val="21"/>
                    </w:rPr>
                    <w:t>审批文件名称及文号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0"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32" w:beforeLines="10"/>
                    <w:textAlignment w:val="auto"/>
                    <w:rPr>
                      <w:szCs w:val="21"/>
                    </w:rPr>
                  </w:pPr>
                  <w:r>
                    <w:rPr>
                      <w:rFonts w:hint="eastAsia"/>
                      <w:szCs w:val="21"/>
                    </w:rPr>
                    <w:t>《安徽黄山经济开发区总体发展规划环境影响报告书》(2014年版）</w:t>
                  </w:r>
                </w:p>
              </w:tc>
              <w:tc>
                <w:tcPr>
                  <w:tcW w:w="2016"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32" w:beforeLines="10"/>
                    <w:jc w:val="center"/>
                    <w:textAlignment w:val="auto"/>
                    <w:rPr>
                      <w:szCs w:val="21"/>
                    </w:rPr>
                  </w:pPr>
                  <w:r>
                    <w:rPr>
                      <w:rFonts w:hint="eastAsia"/>
                      <w:szCs w:val="21"/>
                    </w:rPr>
                    <w:t>安徽省生态环境厅（原安徽省环境保护局）</w:t>
                  </w:r>
                </w:p>
              </w:tc>
              <w:tc>
                <w:tcPr>
                  <w:tcW w:w="2166"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before="32" w:beforeLines="10"/>
                    <w:textAlignment w:val="auto"/>
                    <w:rPr>
                      <w:b/>
                      <w:bCs/>
                      <w:szCs w:val="21"/>
                    </w:rPr>
                  </w:pPr>
                  <w:r>
                    <w:rPr>
                      <w:rFonts w:hint="eastAsia"/>
                      <w:szCs w:val="21"/>
                    </w:rPr>
                    <w:t>《关于安徽黄山经济开发区总体发展规划环境影响报告书审查意见》（皖环函</w:t>
                  </w:r>
                  <w:r>
                    <w:rPr>
                      <w:szCs w:val="21"/>
                    </w:rPr>
                    <w:t>〔</w:t>
                  </w:r>
                  <w:r>
                    <w:rPr>
                      <w:rFonts w:hint="eastAsia"/>
                      <w:szCs w:val="21"/>
                    </w:rPr>
                    <w:t>2014</w:t>
                  </w:r>
                  <w:r>
                    <w:rPr>
                      <w:szCs w:val="21"/>
                    </w:rPr>
                    <w:t>〕</w:t>
                  </w:r>
                  <w:r>
                    <w:rPr>
                      <w:rFonts w:hint="eastAsia"/>
                      <w:szCs w:val="21"/>
                    </w:rPr>
                    <w:t>319号）</w:t>
                  </w:r>
                </w:p>
              </w:tc>
            </w:tr>
          </w:tbl>
          <w:p>
            <w:pPr>
              <w:autoSpaceDE w:val="0"/>
              <w:autoSpaceDN w:val="0"/>
              <w:adjustRightInd w:val="0"/>
              <w:snapToGrid w:val="0"/>
              <w:spacing w:line="360" w:lineRule="auto"/>
              <w:rPr>
                <w:b/>
                <w:bCs/>
                <w:sz w:val="10"/>
                <w:szCs w:val="1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3" w:type="dxa"/>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6597" w:type="dxa"/>
            <w:gridSpan w:val="3"/>
            <w:vAlign w:val="center"/>
          </w:tcPr>
          <w:p>
            <w:pPr>
              <w:pStyle w:val="10"/>
              <w:numPr>
                <w:ilvl w:val="0"/>
                <w:numId w:val="1"/>
              </w:numPr>
              <w:spacing w:line="360" w:lineRule="auto"/>
              <w:ind w:firstLine="480" w:firstLineChars="200"/>
              <w:rPr>
                <w:lang w:val="en-US" w:eastAsia="zh-CN"/>
              </w:rPr>
            </w:pPr>
            <w:r>
              <w:rPr>
                <w:rFonts w:hint="eastAsia"/>
                <w:lang w:val="en-US" w:eastAsia="zh-CN"/>
              </w:rPr>
              <w:t>选址相符性分析</w:t>
            </w:r>
          </w:p>
          <w:p>
            <w:pPr>
              <w:adjustRightInd w:val="0"/>
              <w:snapToGrid w:val="0"/>
              <w:spacing w:line="360" w:lineRule="auto"/>
              <w:ind w:firstLine="480" w:firstLineChars="200"/>
              <w:rPr>
                <w:rFonts w:hint="eastAsia"/>
                <w:kern w:val="0"/>
                <w:sz w:val="24"/>
              </w:rPr>
            </w:pPr>
            <w:r>
              <w:rPr>
                <w:rFonts w:hint="eastAsia"/>
                <w:sz w:val="24"/>
              </w:rPr>
              <w:t>本项目位于</w:t>
            </w:r>
            <w:r>
              <w:rPr>
                <w:sz w:val="24"/>
              </w:rPr>
              <w:t>黄山市屯溪区祁门路蕉充安置小区一期北侧</w:t>
            </w:r>
            <w:r>
              <w:rPr>
                <w:rFonts w:hint="eastAsia"/>
                <w:sz w:val="24"/>
              </w:rPr>
              <w:t>，如图1-1黄山市城市总体规划（2018年修改）所示，本项目用地属于</w:t>
            </w:r>
            <w:r>
              <w:rPr>
                <w:rFonts w:hint="eastAsia"/>
                <w:kern w:val="0"/>
                <w:sz w:val="24"/>
              </w:rPr>
              <w:t>黄山市城市总体规划中</w:t>
            </w:r>
            <w:r>
              <w:rPr>
                <w:rFonts w:hint="eastAsia"/>
                <w:sz w:val="24"/>
              </w:rPr>
              <w:t>的公共管理与公共服务设施用地，本项目为学校，选址符合安徽</w:t>
            </w:r>
            <w:r>
              <w:rPr>
                <w:rFonts w:hint="eastAsia"/>
                <w:kern w:val="0"/>
                <w:sz w:val="24"/>
                <w:lang w:val="zh-CN"/>
              </w:rPr>
              <w:t>黄山</w:t>
            </w:r>
            <w:r>
              <w:rPr>
                <w:rFonts w:hint="eastAsia"/>
                <w:kern w:val="0"/>
                <w:sz w:val="24"/>
              </w:rPr>
              <w:t>市城市</w:t>
            </w:r>
            <w:r>
              <w:rPr>
                <w:rFonts w:hint="eastAsia"/>
                <w:kern w:val="0"/>
                <w:sz w:val="24"/>
                <w:lang w:val="zh-CN"/>
              </w:rPr>
              <w:t>总体</w:t>
            </w:r>
            <w:r>
              <w:rPr>
                <w:rFonts w:hint="eastAsia"/>
                <w:kern w:val="0"/>
                <w:sz w:val="24"/>
              </w:rPr>
              <w:t>规划（2018修改）。</w:t>
            </w:r>
          </w:p>
          <w:p>
            <w:pPr>
              <w:pStyle w:val="2"/>
              <w:ind w:left="0" w:leftChars="0" w:firstLine="0" w:firstLineChars="0"/>
              <w:jc w:val="center"/>
            </w:pPr>
            <w:r>
              <w:rPr>
                <w:lang w:val="en-US" w:eastAsia="zh-CN"/>
              </w:rPr>
              <w:pict>
                <v:shape id="_x0000_i1026" o:spt="75" type="#_x0000_t75" style="height:472.3pt;width:314.1pt;" filled="f" o:preferrelative="t" stroked="t" coordsize="21600,21600">
                  <v:path/>
                  <v:fill on="f" focussize="0,0"/>
                  <v:stroke weight="1pt" color="#000000" joinstyle="miter"/>
                  <v:imagedata r:id="rId13" o:title=""/>
                  <o:lock v:ext="edit" aspectratio="t"/>
                  <w10:wrap type="none"/>
                  <w10:anchorlock/>
                </v:shape>
              </w:pict>
            </w:r>
          </w:p>
          <w:p>
            <w:pPr>
              <w:pStyle w:val="10"/>
              <w:spacing w:line="360" w:lineRule="auto"/>
              <w:ind w:firstLine="482" w:firstLineChars="200"/>
              <w:jc w:val="center"/>
              <w:rPr>
                <w:rFonts w:hint="eastAsia"/>
                <w:b/>
                <w:bCs/>
                <w:szCs w:val="24"/>
                <w:lang w:val="en-US" w:eastAsia="zh-CN"/>
              </w:rPr>
            </w:pPr>
            <w:r>
              <w:rPr>
                <w:rFonts w:hint="eastAsia"/>
                <w:b/>
                <w:bCs/>
                <w:szCs w:val="24"/>
                <w:lang w:val="en-US" w:eastAsia="zh-CN"/>
              </w:rPr>
              <w:t>图1-1黄山市城市总体规划图</w:t>
            </w:r>
          </w:p>
          <w:p>
            <w:pPr>
              <w:pStyle w:val="10"/>
              <w:spacing w:line="360" w:lineRule="auto"/>
              <w:ind w:firstLine="482" w:firstLineChars="200"/>
              <w:jc w:val="center"/>
              <w:rPr>
                <w:rFonts w:hint="eastAsia"/>
                <w:b/>
                <w:bCs/>
                <w:szCs w:val="24"/>
                <w:lang w:val="en-US" w:eastAsia="zh-CN"/>
              </w:rPr>
            </w:pPr>
          </w:p>
          <w:p>
            <w:pPr>
              <w:widowControl/>
              <w:numPr>
                <w:ilvl w:val="0"/>
                <w:numId w:val="1"/>
              </w:numPr>
              <w:spacing w:line="360" w:lineRule="auto"/>
              <w:ind w:firstLine="480" w:firstLineChars="200"/>
              <w:jc w:val="left"/>
              <w:rPr>
                <w:sz w:val="24"/>
              </w:rPr>
            </w:pPr>
            <w:r>
              <w:rPr>
                <w:rFonts w:hint="eastAsia"/>
                <w:sz w:val="24"/>
              </w:rPr>
              <w:t>产业相符性分析</w:t>
            </w:r>
          </w:p>
          <w:p>
            <w:pPr>
              <w:widowControl/>
              <w:spacing w:line="360" w:lineRule="auto"/>
              <w:ind w:firstLine="480" w:firstLineChars="200"/>
              <w:rPr>
                <w:sz w:val="24"/>
              </w:rPr>
            </w:pPr>
            <w:r>
              <w:rPr>
                <w:rFonts w:hint="eastAsia"/>
                <w:sz w:val="24"/>
              </w:rPr>
              <w:t>本项目位于黄山经济开发区北区，根据《安徽黄山经济开发区总体发展规划环境影响报告书》(2014年版）及其审查意见，黄山经济开发区规划主导产业为机械电子、纺织服装、文化产业，本项目为文化产业，符合黄山经济开发区产业定位。</w:t>
            </w:r>
          </w:p>
          <w:p>
            <w:pPr>
              <w:widowControl/>
              <w:spacing w:line="360" w:lineRule="auto"/>
              <w:ind w:firstLine="480" w:firstLineChars="200"/>
              <w:jc w:val="left"/>
              <w:rPr>
                <w:rFonts w:hint="eastAsia"/>
                <w:b/>
                <w:bCs/>
                <w:szCs w:val="24"/>
                <w:lang w:val="en-US" w:eastAsia="zh-CN"/>
              </w:rPr>
            </w:pPr>
            <w:r>
              <w:rPr>
                <w:rFonts w:hint="eastAsia"/>
                <w:sz w:val="24"/>
              </w:rPr>
              <w:t>综上，本项目</w:t>
            </w:r>
            <w:r>
              <w:rPr>
                <w:rFonts w:hint="eastAsia" w:ascii="宋体" w:hAnsi="宋体" w:cs="宋体"/>
                <w:color w:val="000000"/>
                <w:kern w:val="0"/>
                <w:sz w:val="24"/>
              </w:rPr>
              <w:t>选址符合</w:t>
            </w:r>
            <w:r>
              <w:rPr>
                <w:rFonts w:hint="eastAsia"/>
                <w:sz w:val="24"/>
              </w:rPr>
              <w:t>安徽</w:t>
            </w:r>
            <w:r>
              <w:rPr>
                <w:rFonts w:hint="eastAsia"/>
                <w:kern w:val="0"/>
                <w:sz w:val="24"/>
                <w:lang w:val="zh-CN"/>
              </w:rPr>
              <w:t>黄山</w:t>
            </w:r>
            <w:r>
              <w:rPr>
                <w:rFonts w:hint="eastAsia"/>
                <w:kern w:val="0"/>
                <w:sz w:val="24"/>
              </w:rPr>
              <w:t>市城市</w:t>
            </w:r>
            <w:r>
              <w:rPr>
                <w:rFonts w:hint="eastAsia"/>
                <w:kern w:val="0"/>
                <w:sz w:val="24"/>
                <w:lang w:val="zh-CN"/>
              </w:rPr>
              <w:t>总体</w:t>
            </w:r>
            <w:r>
              <w:rPr>
                <w:rFonts w:hint="eastAsia"/>
                <w:kern w:val="0"/>
                <w:sz w:val="24"/>
              </w:rPr>
              <w:t>规划，</w:t>
            </w:r>
            <w:r>
              <w:rPr>
                <w:rFonts w:hint="eastAsia" w:ascii="宋体" w:hAnsi="宋体" w:cs="宋体"/>
                <w:color w:val="000000"/>
                <w:kern w:val="0"/>
                <w:sz w:val="24"/>
              </w:rPr>
              <w:t>项目产业类型符合黄山经济开发区规划环评中的主导产业。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3" w:type="dxa"/>
            <w:vAlign w:val="center"/>
          </w:tcPr>
          <w:p>
            <w:pPr>
              <w:autoSpaceDE w:val="0"/>
              <w:autoSpaceDN w:val="0"/>
              <w:adjustRightInd w:val="0"/>
              <w:snapToGrid w:val="0"/>
              <w:jc w:val="center"/>
              <w:rPr>
                <w:kern w:val="0"/>
                <w:sz w:val="24"/>
              </w:rPr>
            </w:pPr>
            <w:r>
              <w:rPr>
                <w:kern w:val="0"/>
                <w:sz w:val="24"/>
              </w:rPr>
              <w:t>其他符合性分析</w:t>
            </w:r>
          </w:p>
        </w:tc>
        <w:tc>
          <w:tcPr>
            <w:tcW w:w="6597" w:type="dxa"/>
            <w:gridSpan w:val="3"/>
            <w:vAlign w:val="center"/>
          </w:tcPr>
          <w:p>
            <w:pPr>
              <w:pStyle w:val="2"/>
              <w:ind w:firstLine="0" w:firstLineChars="0"/>
              <w:jc w:val="left"/>
              <w:rPr>
                <w:b/>
                <w:lang w:val="en-US" w:eastAsia="zh-CN"/>
              </w:rPr>
            </w:pPr>
            <w:r>
              <w:rPr>
                <w:b/>
                <w:lang w:val="en-US" w:eastAsia="zh-CN"/>
              </w:rPr>
              <w:t>“三线一单”符合性</w:t>
            </w:r>
            <w:r>
              <w:rPr>
                <w:b/>
                <w:lang w:val="en-CA" w:eastAsia="zh-CN"/>
              </w:rPr>
              <w:t>分析</w:t>
            </w:r>
          </w:p>
          <w:p>
            <w:pPr>
              <w:pStyle w:val="2"/>
              <w:ind w:firstLine="480"/>
              <w:rPr>
                <w:lang w:val="zh-CN" w:eastAsia="zh-CN"/>
              </w:rPr>
            </w:pPr>
            <w:r>
              <w:rPr>
                <w:rFonts w:hint="eastAsia"/>
                <w:lang w:val="zh-CN" w:eastAsia="zh-CN"/>
              </w:rPr>
              <w:t>（</w:t>
            </w:r>
            <w:r>
              <w:rPr>
                <w:rFonts w:hint="eastAsia"/>
                <w:lang w:val="en-US" w:eastAsia="zh-CN"/>
              </w:rPr>
              <w:t>1）</w:t>
            </w:r>
            <w:r>
              <w:rPr>
                <w:lang w:val="zh-CN" w:eastAsia="zh-CN"/>
              </w:rPr>
              <w:t>生态保护红线</w:t>
            </w:r>
          </w:p>
          <w:p>
            <w:pPr>
              <w:pStyle w:val="2"/>
              <w:ind w:firstLine="480"/>
              <w:rPr>
                <w:lang w:val="zh-CN" w:eastAsia="zh-CN"/>
              </w:rPr>
            </w:pPr>
            <w:r>
              <w:rPr>
                <w:lang w:val="zh-CN" w:eastAsia="zh-CN"/>
              </w:rPr>
              <w:t>本项目位于</w:t>
            </w:r>
            <w:r>
              <w:rPr>
                <w:rFonts w:hint="eastAsia"/>
                <w:lang w:val="en-US" w:eastAsia="zh-CN"/>
              </w:rPr>
              <w:t>黄山市黄山高新技术产业开发区蕉充安置小区一期北侧</w:t>
            </w:r>
            <w:r>
              <w:rPr>
                <w:lang w:val="zh-CN" w:eastAsia="zh-CN"/>
              </w:rPr>
              <w:t>，根据《安徽省生态保护红线》划定方案，本项目不在水源涵养生态保护红线、水土保持生态保护红线、生物多样性维护生态保护红线之内，符合生态保护红线的要求。</w:t>
            </w:r>
          </w:p>
          <w:p>
            <w:pPr>
              <w:pStyle w:val="2"/>
              <w:ind w:firstLine="480"/>
              <w:rPr>
                <w:lang w:val="zh-CN" w:eastAsia="zh-CN"/>
              </w:rPr>
            </w:pPr>
            <w:r>
              <w:rPr>
                <w:rFonts w:hint="eastAsia"/>
                <w:lang w:val="zh-CN" w:eastAsia="zh-CN"/>
              </w:rPr>
              <w:t>（</w:t>
            </w:r>
            <w:r>
              <w:rPr>
                <w:rFonts w:hint="eastAsia"/>
                <w:lang w:val="en-US" w:eastAsia="zh-CN"/>
              </w:rPr>
              <w:t>2）</w:t>
            </w:r>
            <w:r>
              <w:rPr>
                <w:lang w:val="zh-CN" w:eastAsia="zh-CN"/>
              </w:rPr>
              <w:t>环境质量底线</w:t>
            </w:r>
          </w:p>
          <w:p>
            <w:pPr>
              <w:widowControl/>
              <w:spacing w:line="360" w:lineRule="auto"/>
              <w:ind w:firstLine="480" w:firstLineChars="200"/>
              <w:jc w:val="left"/>
              <w:rPr>
                <w:sz w:val="24"/>
                <w:lang w:val="zh-CN"/>
              </w:rPr>
            </w:pPr>
            <w:r>
              <w:rPr>
                <w:sz w:val="24"/>
              </w:rPr>
              <w:t>根据《</w:t>
            </w:r>
            <w:r>
              <w:rPr>
                <w:rFonts w:hint="eastAsia"/>
                <w:sz w:val="24"/>
              </w:rPr>
              <w:t>2020</w:t>
            </w:r>
            <w:r>
              <w:rPr>
                <w:sz w:val="24"/>
              </w:rPr>
              <w:t>年黄山市环境状况公报》，黄山市城区二氧化硫、二氧化氮、可吸入颗粒物、细颗粒物、一氧化碳、臭氧（日最大8小时平均）年均值全部达到《环境空气质量标准》（GB3095-2012）及2018年修改单中的二级标准</w:t>
            </w:r>
            <w:r>
              <w:rPr>
                <w:sz w:val="24"/>
                <w:lang w:val="zh-CN"/>
              </w:rPr>
              <w:t>要求。</w:t>
            </w:r>
          </w:p>
          <w:p>
            <w:pPr>
              <w:pStyle w:val="2"/>
              <w:ind w:firstLine="480"/>
              <w:rPr>
                <w:lang w:val="zh-CN" w:eastAsia="zh-CN"/>
              </w:rPr>
            </w:pPr>
            <w:r>
              <w:rPr>
                <w:lang w:val="en-US" w:eastAsia="zh-CN"/>
              </w:rPr>
              <w:t>根据《</w:t>
            </w:r>
            <w:r>
              <w:rPr>
                <w:rFonts w:hint="eastAsia"/>
                <w:lang w:val="en-US" w:eastAsia="zh-CN"/>
              </w:rPr>
              <w:t>2020</w:t>
            </w:r>
            <w:r>
              <w:rPr>
                <w:lang w:val="en-US" w:eastAsia="zh-CN"/>
              </w:rPr>
              <w:t>年黄山市环境状况公报》，黄山市水质状况总体优良。其中新安江流域河流总体水质状况优，8个监测断面水质均为Ⅱ类。</w:t>
            </w:r>
            <w:r>
              <w:rPr>
                <w:szCs w:val="24"/>
                <w:lang w:val="en-US" w:eastAsia="zh-CN"/>
              </w:rPr>
              <w:t>项目区域纳污水体横江水质满足《地表水环境质量标准》（GB-3838-2002）中Ⅲ类水域标准。</w:t>
            </w:r>
          </w:p>
          <w:p>
            <w:pPr>
              <w:widowControl/>
              <w:spacing w:line="360" w:lineRule="auto"/>
              <w:ind w:firstLine="480" w:firstLineChars="200"/>
              <w:jc w:val="left"/>
            </w:pPr>
            <w:r>
              <w:rPr>
                <w:sz w:val="24"/>
              </w:rPr>
              <w:t>根据</w:t>
            </w:r>
            <w:r>
              <w:rPr>
                <w:rFonts w:hint="eastAsia"/>
                <w:sz w:val="24"/>
              </w:rPr>
              <w:t>对项目四周进行噪声监测,</w:t>
            </w:r>
            <w:r>
              <w:rPr>
                <w:sz w:val="24"/>
                <w:lang w:val="zh-CN"/>
              </w:rPr>
              <w:t>项目昼、夜声</w:t>
            </w:r>
            <w:r>
              <w:rPr>
                <w:rFonts w:hint="eastAsia" w:ascii="宋体" w:hAnsi="宋体" w:cs="宋体"/>
                <w:kern w:val="0"/>
                <w:sz w:val="24"/>
              </w:rPr>
              <w:t>等效连续</w:t>
            </w:r>
            <w:r>
              <w:rPr>
                <w:kern w:val="0"/>
                <w:sz w:val="24"/>
              </w:rPr>
              <w:t>A</w:t>
            </w:r>
            <w:r>
              <w:rPr>
                <w:rFonts w:hint="eastAsia" w:ascii="宋体" w:hAnsi="宋体" w:cs="宋体"/>
                <w:kern w:val="0"/>
                <w:sz w:val="24"/>
              </w:rPr>
              <w:t>声级均能达到《声环境质量标准》（</w:t>
            </w:r>
            <w:r>
              <w:rPr>
                <w:kern w:val="0"/>
                <w:sz w:val="24"/>
              </w:rPr>
              <w:t>GB3096-2008</w:t>
            </w:r>
            <w:r>
              <w:rPr>
                <w:rFonts w:hint="eastAsia" w:ascii="宋体" w:hAnsi="宋体" w:cs="宋体"/>
                <w:kern w:val="0"/>
                <w:sz w:val="24"/>
              </w:rPr>
              <w:t>）中相应标准限值。</w:t>
            </w:r>
          </w:p>
          <w:p>
            <w:pPr>
              <w:pStyle w:val="2"/>
              <w:ind w:firstLine="480"/>
              <w:rPr>
                <w:lang w:val="zh-CN" w:eastAsia="zh-CN"/>
              </w:rPr>
            </w:pPr>
            <w:r>
              <w:rPr>
                <w:lang w:val="zh-CN" w:eastAsia="zh-CN"/>
              </w:rPr>
              <w:t>本项目实施后不会降低区域环境功能级别，符合环境质量底线要求。</w:t>
            </w:r>
          </w:p>
          <w:p>
            <w:pPr>
              <w:pStyle w:val="2"/>
              <w:ind w:firstLine="480"/>
              <w:rPr>
                <w:lang w:val="zh-CN" w:eastAsia="zh-CN"/>
              </w:rPr>
            </w:pPr>
            <w:r>
              <w:rPr>
                <w:rFonts w:hint="eastAsia"/>
                <w:lang w:val="zh-CN" w:eastAsia="zh-CN"/>
              </w:rPr>
              <w:t>（</w:t>
            </w:r>
            <w:r>
              <w:rPr>
                <w:rFonts w:hint="eastAsia"/>
                <w:lang w:val="en-US" w:eastAsia="zh-CN"/>
              </w:rPr>
              <w:t>3）</w:t>
            </w:r>
            <w:r>
              <w:rPr>
                <w:lang w:val="zh-CN" w:eastAsia="zh-CN"/>
              </w:rPr>
              <w:t xml:space="preserve">资源利用上线 </w:t>
            </w:r>
          </w:p>
          <w:p>
            <w:pPr>
              <w:pStyle w:val="2"/>
              <w:ind w:firstLine="480"/>
              <w:rPr>
                <w:lang w:val="zh-CN" w:eastAsia="zh-CN"/>
              </w:rPr>
            </w:pPr>
            <w:r>
              <w:rPr>
                <w:lang w:val="zh-CN" w:eastAsia="zh-CN"/>
              </w:rPr>
              <w:t>本项目运营过程中消耗一定量的电力资源、水资源、土地资源，但消耗量较小，区域已建基础设施能够满足本项目电力、水资源供应需求，项目建设未突破资源利用上线，符合资源利用上线要求。</w:t>
            </w:r>
          </w:p>
          <w:p>
            <w:pPr>
              <w:pStyle w:val="2"/>
              <w:ind w:firstLine="480"/>
              <w:rPr>
                <w:lang w:val="en-US" w:eastAsia="zh-CN"/>
              </w:rPr>
            </w:pPr>
            <w:r>
              <w:rPr>
                <w:lang w:val="en-US" w:eastAsia="zh-CN"/>
              </w:rPr>
              <w:t>项目不属于《市场准入负面清单（</w:t>
            </w:r>
            <w:r>
              <w:rPr>
                <w:rFonts w:hint="eastAsia"/>
                <w:lang w:val="en-US" w:eastAsia="zh-CN"/>
              </w:rPr>
              <w:t>2020</w:t>
            </w:r>
            <w:r>
              <w:rPr>
                <w:lang w:val="en-US" w:eastAsia="zh-CN"/>
              </w:rPr>
              <w:t>年版）》中禁止准入类项目，且项目不在《安徽省第二批国家重点生态功能区产业准入负面清单（试行）》（皖发改规划[2018]371号）中的负面清单范围内，因此本项目不属于准入负面清单范围内的行业。</w:t>
            </w:r>
          </w:p>
          <w:p>
            <w:pPr>
              <w:pStyle w:val="2"/>
              <w:ind w:firstLine="480"/>
              <w:rPr>
                <w:rFonts w:hint="eastAsia"/>
                <w:lang w:val="en-US" w:eastAsia="zh-CN"/>
              </w:rPr>
            </w:pPr>
            <w:r>
              <w:rPr>
                <w:lang w:val="en-US" w:eastAsia="zh-CN"/>
              </w:rPr>
              <w:t>综上所述，本项目的建设符合“三线一单”的相关要求</w:t>
            </w:r>
            <w:r>
              <w:rPr>
                <w:rFonts w:hint="eastAsia"/>
                <w:lang w:val="en-US" w:eastAsia="zh-CN"/>
              </w:rPr>
              <w:t>。</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lang w:val="en-US" w:eastAsia="zh-CN"/>
              </w:rPr>
            </w:pPr>
          </w:p>
          <w:p>
            <w:pPr>
              <w:pStyle w:val="2"/>
              <w:ind w:firstLine="480"/>
              <w:rPr>
                <w:lang w:val="en-US" w:eastAsia="zh-CN"/>
              </w:rPr>
            </w:pPr>
          </w:p>
        </w:tc>
      </w:tr>
    </w:tbl>
    <w:p>
      <w:pPr>
        <w:spacing w:line="360" w:lineRule="auto"/>
        <w:outlineLvl w:val="0"/>
        <w:rPr>
          <w:rFonts w:eastAsia="黑体"/>
          <w:sz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
      </w:pPr>
      <w:bookmarkStart w:id="5" w:name="_Toc120"/>
      <w:r>
        <w:rPr>
          <w:rFonts w:hint="eastAsia"/>
        </w:rPr>
        <w:t>二、建设项目工程分析</w:t>
      </w:r>
      <w:bookmarkEnd w:id="5"/>
    </w:p>
    <w:tbl>
      <w:tblPr>
        <w:tblStyle w:val="21"/>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4"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lang w:val="en-US" w:eastAsia="zh-CN"/>
              </w:rPr>
            </w:pPr>
            <w:r>
              <w:rPr>
                <w:rFonts w:hint="eastAsia" w:cs="宋体"/>
                <w:sz w:val="21"/>
                <w:szCs w:val="21"/>
                <w:lang w:val="en-US" w:eastAsia="zh-CN"/>
              </w:rPr>
              <w:t>建设内容</w:t>
            </w:r>
          </w:p>
        </w:tc>
        <w:tc>
          <w:tcPr>
            <w:tcW w:w="8161" w:type="dxa"/>
          </w:tcPr>
          <w:p>
            <w:pPr>
              <w:pStyle w:val="4"/>
              <w:rPr>
                <w:color w:val="auto"/>
                <w:kern w:val="2"/>
                <w:szCs w:val="24"/>
                <w:lang w:val="en-US" w:eastAsia="zh-CN"/>
              </w:rPr>
            </w:pPr>
            <w:r>
              <w:rPr>
                <w:color w:val="auto"/>
                <w:kern w:val="2"/>
                <w:szCs w:val="24"/>
                <w:lang w:val="en-US" w:eastAsia="zh-CN"/>
              </w:rPr>
              <w:t>1.拟建项目建设内容及规模</w:t>
            </w:r>
          </w:p>
          <w:p>
            <w:pPr>
              <w:pStyle w:val="2"/>
              <w:ind w:firstLine="480"/>
              <w:rPr>
                <w:color w:val="auto"/>
                <w:lang w:val="en-US" w:eastAsia="zh-CN"/>
              </w:rPr>
            </w:pPr>
            <w:r>
              <w:rPr>
                <w:rFonts w:hint="eastAsia"/>
                <w:color w:val="auto"/>
                <w:lang w:val="en-US" w:eastAsia="zh-CN"/>
              </w:rPr>
              <w:t>拟建项目</w:t>
            </w:r>
            <w:r>
              <w:rPr>
                <w:color w:val="auto"/>
                <w:lang w:val="en-US" w:eastAsia="zh-CN"/>
              </w:rPr>
              <w:t>位于</w:t>
            </w:r>
            <w:r>
              <w:rPr>
                <w:rFonts w:hint="eastAsia"/>
                <w:color w:val="auto"/>
                <w:lang w:val="en-US" w:eastAsia="zh-CN"/>
              </w:rPr>
              <w:t>高新区蕉充安置区一期北侧</w:t>
            </w:r>
            <w:r>
              <w:rPr>
                <w:color w:val="auto"/>
                <w:lang w:val="en-US" w:eastAsia="zh-CN"/>
              </w:rPr>
              <w:t>，总用地面积为</w:t>
            </w:r>
            <w:r>
              <w:rPr>
                <w:rFonts w:hint="eastAsia"/>
                <w:color w:val="auto"/>
                <w:lang w:val="en-US" w:eastAsia="zh-CN"/>
              </w:rPr>
              <w:t>25146.7</w:t>
            </w:r>
            <w:r>
              <w:rPr>
                <w:color w:val="auto"/>
                <w:lang w:val="en-US" w:eastAsia="zh-CN"/>
              </w:rPr>
              <w:t>m</w:t>
            </w:r>
            <w:r>
              <w:rPr>
                <w:color w:val="auto"/>
                <w:vertAlign w:val="superscript"/>
                <w:lang w:val="en-US" w:eastAsia="zh-CN"/>
              </w:rPr>
              <w:t>2</w:t>
            </w:r>
            <w:r>
              <w:rPr>
                <w:color w:val="auto"/>
                <w:lang w:val="en-US" w:eastAsia="zh-CN"/>
              </w:rPr>
              <w:t>，总建筑面积</w:t>
            </w:r>
            <w:r>
              <w:rPr>
                <w:rFonts w:hint="eastAsia"/>
                <w:color w:val="auto"/>
                <w:lang w:val="en-US" w:eastAsia="zh-CN"/>
              </w:rPr>
              <w:t>26779</w:t>
            </w:r>
            <w:r>
              <w:rPr>
                <w:color w:val="auto"/>
                <w:lang w:val="en-US" w:eastAsia="zh-CN"/>
              </w:rPr>
              <w:t>m</w:t>
            </w:r>
            <w:r>
              <w:rPr>
                <w:color w:val="auto"/>
                <w:vertAlign w:val="superscript"/>
                <w:lang w:val="en-US" w:eastAsia="zh-CN"/>
              </w:rPr>
              <w:t>2</w:t>
            </w:r>
            <w:r>
              <w:rPr>
                <w:color w:val="auto"/>
                <w:lang w:val="en-US" w:eastAsia="zh-CN"/>
              </w:rPr>
              <w:t>，其中地上建筑面积为</w:t>
            </w:r>
            <w:r>
              <w:rPr>
                <w:rFonts w:hint="eastAsia"/>
                <w:color w:val="auto"/>
                <w:lang w:val="en-US" w:eastAsia="zh-CN"/>
              </w:rPr>
              <w:t>25061.98</w:t>
            </w:r>
            <w:r>
              <w:rPr>
                <w:color w:val="auto"/>
                <w:lang w:val="en-US" w:eastAsia="zh-CN"/>
              </w:rPr>
              <w:t>m</w:t>
            </w:r>
            <w:r>
              <w:rPr>
                <w:color w:val="auto"/>
                <w:vertAlign w:val="superscript"/>
                <w:lang w:val="en-US" w:eastAsia="zh-CN"/>
              </w:rPr>
              <w:t>2</w:t>
            </w:r>
            <w:r>
              <w:rPr>
                <w:color w:val="auto"/>
                <w:lang w:val="en-US" w:eastAsia="zh-CN"/>
              </w:rPr>
              <w:t>，地下建筑面积为</w:t>
            </w:r>
            <w:r>
              <w:rPr>
                <w:rFonts w:hint="eastAsia"/>
                <w:color w:val="auto"/>
                <w:lang w:val="en-US" w:eastAsia="zh-CN"/>
              </w:rPr>
              <w:t>1512.48</w:t>
            </w:r>
            <w:r>
              <w:rPr>
                <w:color w:val="auto"/>
                <w:lang w:val="en-US" w:eastAsia="zh-CN"/>
              </w:rPr>
              <w:t>m</w:t>
            </w:r>
            <w:r>
              <w:rPr>
                <w:color w:val="auto"/>
                <w:vertAlign w:val="superscript"/>
                <w:lang w:val="en-US" w:eastAsia="zh-CN"/>
              </w:rPr>
              <w:t>2</w:t>
            </w:r>
            <w:r>
              <w:rPr>
                <w:rFonts w:hint="eastAsia"/>
                <w:color w:val="auto"/>
                <w:lang w:val="en-US" w:eastAsia="zh-CN"/>
              </w:rPr>
              <w:t>，架空层建筑面积204.54m</w:t>
            </w:r>
            <w:r>
              <w:rPr>
                <w:rFonts w:hint="eastAsia"/>
                <w:color w:val="auto"/>
                <w:vertAlign w:val="superscript"/>
                <w:lang w:val="en-US" w:eastAsia="zh-CN"/>
              </w:rPr>
              <w:t>2</w:t>
            </w:r>
            <w:r>
              <w:rPr>
                <w:color w:val="auto"/>
                <w:lang w:val="en-US" w:eastAsia="zh-CN"/>
              </w:rPr>
              <w:t>。主要建设内容包括：</w:t>
            </w:r>
            <w:r>
              <w:rPr>
                <w:rFonts w:hint="eastAsia"/>
                <w:color w:val="auto"/>
                <w:lang w:val="en-US" w:eastAsia="zh-CN"/>
              </w:rPr>
              <w:t>2栋教学综合楼，1栋行政办公楼，3栋宿舍楼（2栋学生宿舍楼，1栋教工公寓楼）、1栋食堂会堂综合楼，运动场及其他附属（大门、看台处器材储存间、看台、广播间）</w:t>
            </w:r>
            <w:r>
              <w:rPr>
                <w:color w:val="auto"/>
                <w:lang w:val="en-US" w:eastAsia="zh-CN"/>
              </w:rPr>
              <w:t>等。</w:t>
            </w:r>
          </w:p>
          <w:p>
            <w:pPr>
              <w:pStyle w:val="2"/>
              <w:ind w:firstLine="480"/>
              <w:rPr>
                <w:color w:val="auto"/>
                <w:lang w:val="en-US" w:eastAsia="zh-CN"/>
              </w:rPr>
            </w:pPr>
            <w:r>
              <w:rPr>
                <w:color w:val="auto"/>
                <w:lang w:val="en-US" w:eastAsia="zh-CN"/>
              </w:rPr>
              <w:t>项目工程内容组成详见下表。</w:t>
            </w:r>
          </w:p>
          <w:p>
            <w:pPr>
              <w:ind w:firstLine="482"/>
              <w:jc w:val="center"/>
              <w:rPr>
                <w:b/>
                <w:color w:val="auto"/>
                <w:sz w:val="24"/>
                <w:lang w:val="en-CA"/>
              </w:rPr>
            </w:pPr>
            <w:r>
              <w:rPr>
                <w:b/>
                <w:color w:val="auto"/>
                <w:sz w:val="24"/>
              </w:rPr>
              <w:t>表</w:t>
            </w:r>
            <w:r>
              <w:rPr>
                <w:rFonts w:hint="eastAsia"/>
                <w:b/>
                <w:color w:val="auto"/>
                <w:sz w:val="24"/>
              </w:rPr>
              <w:t>2</w:t>
            </w:r>
            <w:r>
              <w:rPr>
                <w:b/>
                <w:color w:val="auto"/>
                <w:sz w:val="24"/>
              </w:rPr>
              <w:t xml:space="preserve">-1  </w:t>
            </w:r>
            <w:r>
              <w:rPr>
                <w:rFonts w:hint="eastAsia"/>
                <w:b/>
                <w:color w:val="auto"/>
                <w:sz w:val="24"/>
              </w:rPr>
              <w:t>拟建项目</w:t>
            </w:r>
            <w:r>
              <w:rPr>
                <w:b/>
                <w:color w:val="auto"/>
                <w:sz w:val="24"/>
              </w:rPr>
              <w:t>工程内容组成</w:t>
            </w:r>
            <w:r>
              <w:rPr>
                <w:b/>
                <w:color w:val="auto"/>
                <w:sz w:val="24"/>
                <w:lang w:val="en-CA"/>
              </w:rPr>
              <w:t>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470"/>
              <w:gridCol w:w="5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Align w:val="center"/>
                </w:tcPr>
                <w:p>
                  <w:pPr>
                    <w:pStyle w:val="41"/>
                    <w:rPr>
                      <w:b/>
                      <w:bCs/>
                      <w:color w:val="auto"/>
                      <w:kern w:val="2"/>
                      <w:lang w:val="en-US" w:eastAsia="zh-CN"/>
                    </w:rPr>
                  </w:pPr>
                  <w:r>
                    <w:rPr>
                      <w:b/>
                      <w:bCs/>
                      <w:color w:val="auto"/>
                      <w:kern w:val="2"/>
                      <w:lang w:val="en-US" w:eastAsia="zh-CN"/>
                    </w:rPr>
                    <w:t>工程类别</w:t>
                  </w:r>
                </w:p>
              </w:tc>
              <w:tc>
                <w:tcPr>
                  <w:tcW w:w="1522" w:type="dxa"/>
                  <w:vAlign w:val="center"/>
                </w:tcPr>
                <w:p>
                  <w:pPr>
                    <w:pStyle w:val="41"/>
                    <w:rPr>
                      <w:b/>
                      <w:bCs/>
                      <w:color w:val="auto"/>
                      <w:kern w:val="2"/>
                      <w:lang w:val="en-US" w:eastAsia="zh-CN"/>
                    </w:rPr>
                  </w:pPr>
                  <w:r>
                    <w:rPr>
                      <w:b/>
                      <w:bCs/>
                      <w:color w:val="auto"/>
                      <w:kern w:val="2"/>
                      <w:lang w:val="en-US" w:eastAsia="zh-CN"/>
                    </w:rPr>
                    <w:t>单项工程名称</w:t>
                  </w:r>
                </w:p>
              </w:tc>
              <w:tc>
                <w:tcPr>
                  <w:tcW w:w="5507" w:type="dxa"/>
                  <w:vAlign w:val="center"/>
                </w:tcPr>
                <w:p>
                  <w:pPr>
                    <w:pStyle w:val="41"/>
                    <w:rPr>
                      <w:b/>
                      <w:bCs/>
                      <w:color w:val="auto"/>
                      <w:kern w:val="2"/>
                      <w:lang w:val="en-US" w:eastAsia="zh-CN"/>
                    </w:rPr>
                  </w:pPr>
                  <w:r>
                    <w:rPr>
                      <w:b/>
                      <w:bCs/>
                      <w:color w:val="auto"/>
                      <w:kern w:val="2"/>
                      <w:lang w:val="en-US" w:eastAsia="zh-CN"/>
                    </w:rPr>
                    <w:t>工程内容与规模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211" w:type="dxa"/>
                  <w:vMerge w:val="restart"/>
                  <w:vAlign w:val="center"/>
                </w:tcPr>
                <w:p>
                  <w:pPr>
                    <w:pStyle w:val="41"/>
                    <w:rPr>
                      <w:color w:val="auto"/>
                      <w:kern w:val="2"/>
                      <w:lang w:val="en-US" w:eastAsia="zh-CN"/>
                    </w:rPr>
                  </w:pPr>
                  <w:r>
                    <w:rPr>
                      <w:color w:val="auto"/>
                      <w:kern w:val="2"/>
                      <w:lang w:val="en-US" w:eastAsia="zh-CN"/>
                    </w:rPr>
                    <w:t>主体工程</w:t>
                  </w:r>
                </w:p>
              </w:tc>
              <w:tc>
                <w:tcPr>
                  <w:tcW w:w="1522" w:type="dxa"/>
                  <w:vAlign w:val="center"/>
                </w:tcPr>
                <w:p>
                  <w:pPr>
                    <w:pStyle w:val="41"/>
                    <w:rPr>
                      <w:color w:val="auto"/>
                      <w:kern w:val="2"/>
                      <w:lang w:val="en-US" w:eastAsia="zh-CN"/>
                    </w:rPr>
                  </w:pPr>
                  <w:r>
                    <w:rPr>
                      <w:rFonts w:hint="eastAsia"/>
                      <w:color w:val="auto"/>
                      <w:kern w:val="2"/>
                      <w:lang w:val="en-US" w:eastAsia="zh-CN"/>
                    </w:rPr>
                    <w:t>教学综合楼</w:t>
                  </w:r>
                </w:p>
              </w:tc>
              <w:tc>
                <w:tcPr>
                  <w:tcW w:w="5507" w:type="dxa"/>
                  <w:vMerge w:val="restart"/>
                  <w:vAlign w:val="center"/>
                </w:tcPr>
                <w:p>
                  <w:pPr>
                    <w:ind w:right="113" w:firstLine="420" w:firstLineChars="200"/>
                    <w:rPr>
                      <w:color w:val="auto"/>
                    </w:rPr>
                  </w:pPr>
                  <w:bookmarkStart w:id="6" w:name="OLE_LINK23"/>
                  <w:r>
                    <w:rPr>
                      <w:rFonts w:hint="eastAsia"/>
                      <w:color w:val="auto"/>
                      <w:szCs w:val="21"/>
                    </w:rPr>
                    <w:t>2栋</w:t>
                  </w:r>
                  <w:r>
                    <w:rPr>
                      <w:color w:val="auto"/>
                      <w:szCs w:val="21"/>
                    </w:rPr>
                    <w:t>教学</w:t>
                  </w:r>
                  <w:bookmarkEnd w:id="6"/>
                  <w:bookmarkStart w:id="7" w:name="OLE_LINK22"/>
                  <w:r>
                    <w:rPr>
                      <w:rFonts w:hint="eastAsia"/>
                      <w:color w:val="auto"/>
                      <w:szCs w:val="21"/>
                    </w:rPr>
                    <w:t>综合楼（分别为南楼和北楼）与1栋行政办公</w:t>
                  </w:r>
                  <w:r>
                    <w:rPr>
                      <w:color w:val="auto"/>
                      <w:szCs w:val="21"/>
                    </w:rPr>
                    <w:t>楼</w:t>
                  </w:r>
                  <w:r>
                    <w:rPr>
                      <w:rFonts w:hint="eastAsia"/>
                      <w:color w:val="auto"/>
                      <w:szCs w:val="21"/>
                    </w:rPr>
                    <w:t>相连。2栋教学综合楼皆为5</w:t>
                  </w:r>
                  <w:r>
                    <w:rPr>
                      <w:color w:val="auto"/>
                      <w:szCs w:val="21"/>
                    </w:rPr>
                    <w:t>层</w:t>
                  </w:r>
                  <w:r>
                    <w:rPr>
                      <w:rFonts w:hint="eastAsia"/>
                      <w:color w:val="auto"/>
                      <w:szCs w:val="21"/>
                    </w:rPr>
                    <w:t>，</w:t>
                  </w:r>
                  <w:r>
                    <w:rPr>
                      <w:color w:val="auto"/>
                      <w:szCs w:val="21"/>
                    </w:rPr>
                    <w:t>高度</w:t>
                  </w:r>
                  <w:r>
                    <w:rPr>
                      <w:rFonts w:hint="eastAsia"/>
                      <w:color w:val="auto"/>
                      <w:szCs w:val="21"/>
                    </w:rPr>
                    <w:t>皆</w:t>
                  </w:r>
                  <w:r>
                    <w:rPr>
                      <w:color w:val="auto"/>
                      <w:szCs w:val="21"/>
                    </w:rPr>
                    <w:t>为21.20</w:t>
                  </w:r>
                  <w:r>
                    <w:rPr>
                      <w:rFonts w:hint="eastAsia"/>
                      <w:color w:val="auto"/>
                      <w:szCs w:val="21"/>
                    </w:rPr>
                    <w:t>m，</w:t>
                  </w:r>
                  <w:bookmarkEnd w:id="7"/>
                  <w:r>
                    <w:rPr>
                      <w:rFonts w:hint="eastAsia"/>
                      <w:color w:val="auto"/>
                      <w:szCs w:val="21"/>
                    </w:rPr>
                    <w:t>东西</w:t>
                  </w:r>
                  <w:r>
                    <w:rPr>
                      <w:color w:val="auto"/>
                      <w:szCs w:val="21"/>
                    </w:rPr>
                    <w:t>向平行布置</w:t>
                  </w:r>
                  <w:bookmarkStart w:id="8" w:name="OLE_LINK24"/>
                  <w:r>
                    <w:rPr>
                      <w:rFonts w:hint="eastAsia"/>
                      <w:color w:val="auto"/>
                      <w:szCs w:val="21"/>
                    </w:rPr>
                    <w:t>，</w:t>
                  </w:r>
                  <w:r>
                    <w:rPr>
                      <w:color w:val="auto"/>
                      <w:szCs w:val="21"/>
                    </w:rPr>
                    <w:t>南</w:t>
                  </w:r>
                  <w:r>
                    <w:rPr>
                      <w:rFonts w:hint="eastAsia"/>
                      <w:color w:val="auto"/>
                      <w:szCs w:val="21"/>
                    </w:rPr>
                    <w:t>楼</w:t>
                  </w:r>
                  <w:r>
                    <w:rPr>
                      <w:color w:val="auto"/>
                      <w:szCs w:val="21"/>
                    </w:rPr>
                    <w:t>的</w:t>
                  </w:r>
                  <w:r>
                    <w:rPr>
                      <w:rFonts w:hint="eastAsia"/>
                      <w:color w:val="auto"/>
                      <w:szCs w:val="21"/>
                    </w:rPr>
                    <w:t>2</w:t>
                  </w:r>
                  <w:r>
                    <w:rPr>
                      <w:color w:val="auto"/>
                      <w:szCs w:val="21"/>
                    </w:rPr>
                    <w:t>、</w:t>
                  </w:r>
                  <w:r>
                    <w:rPr>
                      <w:rFonts w:hint="eastAsia"/>
                      <w:color w:val="auto"/>
                      <w:szCs w:val="21"/>
                    </w:rPr>
                    <w:t>3</w:t>
                  </w:r>
                  <w:r>
                    <w:rPr>
                      <w:color w:val="auto"/>
                      <w:szCs w:val="21"/>
                    </w:rPr>
                    <w:t>楼及北</w:t>
                  </w:r>
                  <w:r>
                    <w:rPr>
                      <w:rFonts w:hint="eastAsia"/>
                      <w:color w:val="auto"/>
                      <w:szCs w:val="21"/>
                    </w:rPr>
                    <w:t>楼</w:t>
                  </w:r>
                  <w:r>
                    <w:rPr>
                      <w:color w:val="auto"/>
                      <w:szCs w:val="21"/>
                    </w:rPr>
                    <w:t>的</w:t>
                  </w:r>
                  <w:r>
                    <w:rPr>
                      <w:rFonts w:hint="eastAsia"/>
                      <w:color w:val="auto"/>
                      <w:szCs w:val="21"/>
                    </w:rPr>
                    <w:t>2</w:t>
                  </w:r>
                  <w:r>
                    <w:rPr>
                      <w:color w:val="auto"/>
                      <w:szCs w:val="21"/>
                    </w:rPr>
                    <w:t>楼至</w:t>
                  </w:r>
                  <w:r>
                    <w:rPr>
                      <w:rFonts w:hint="eastAsia"/>
                      <w:color w:val="auto"/>
                      <w:szCs w:val="21"/>
                    </w:rPr>
                    <w:t>5</w:t>
                  </w:r>
                  <w:r>
                    <w:rPr>
                      <w:color w:val="auto"/>
                      <w:szCs w:val="21"/>
                    </w:rPr>
                    <w:t>楼</w:t>
                  </w:r>
                  <w:r>
                    <w:rPr>
                      <w:rFonts w:hint="eastAsia"/>
                      <w:color w:val="auto"/>
                      <w:szCs w:val="21"/>
                    </w:rPr>
                    <w:t>为教室，</w:t>
                  </w:r>
                  <w:r>
                    <w:rPr>
                      <w:color w:val="auto"/>
                      <w:szCs w:val="21"/>
                    </w:rPr>
                    <w:t>共设18间教室</w:t>
                  </w:r>
                  <w:r>
                    <w:rPr>
                      <w:rFonts w:hint="eastAsia"/>
                      <w:color w:val="auto"/>
                      <w:szCs w:val="21"/>
                    </w:rPr>
                    <w:t>，</w:t>
                  </w:r>
                  <w:r>
                    <w:rPr>
                      <w:color w:val="auto"/>
                      <w:szCs w:val="21"/>
                    </w:rPr>
                    <w:t>其余楼层设置为教学辅助用房</w:t>
                  </w:r>
                  <w:r>
                    <w:rPr>
                      <w:rFonts w:hint="eastAsia"/>
                      <w:color w:val="auto"/>
                      <w:szCs w:val="21"/>
                    </w:rPr>
                    <w:t>，</w:t>
                  </w:r>
                  <w:r>
                    <w:rPr>
                      <w:color w:val="auto"/>
                    </w:rPr>
                    <w:t>一间化学实验室建设在</w:t>
                  </w:r>
                  <w:r>
                    <w:rPr>
                      <w:rFonts w:hint="eastAsia"/>
                      <w:color w:val="auto"/>
                    </w:rPr>
                    <w:t>南教学综合楼</w:t>
                  </w:r>
                  <w:r>
                    <w:rPr>
                      <w:color w:val="auto"/>
                    </w:rPr>
                    <w:t>5</w:t>
                  </w:r>
                  <w:r>
                    <w:rPr>
                      <w:rFonts w:hint="eastAsia"/>
                      <w:color w:val="auto"/>
                    </w:rPr>
                    <w:t>楼</w:t>
                  </w:r>
                  <w:r>
                    <w:rPr>
                      <w:rFonts w:hint="eastAsia"/>
                      <w:color w:val="auto"/>
                      <w:szCs w:val="21"/>
                    </w:rPr>
                    <w:t>；1栋</w:t>
                  </w:r>
                  <w:r>
                    <w:rPr>
                      <w:color w:val="auto"/>
                      <w:szCs w:val="21"/>
                    </w:rPr>
                    <w:t>行政</w:t>
                  </w:r>
                  <w:r>
                    <w:rPr>
                      <w:rFonts w:hint="eastAsia"/>
                      <w:color w:val="auto"/>
                      <w:szCs w:val="21"/>
                    </w:rPr>
                    <w:t>办公</w:t>
                  </w:r>
                  <w:r>
                    <w:rPr>
                      <w:color w:val="auto"/>
                      <w:szCs w:val="21"/>
                    </w:rPr>
                    <w:t>楼</w:t>
                  </w:r>
                  <w:bookmarkEnd w:id="8"/>
                  <w:r>
                    <w:rPr>
                      <w:rFonts w:hint="eastAsia"/>
                      <w:color w:val="auto"/>
                      <w:szCs w:val="21"/>
                    </w:rPr>
                    <w:t>，4</w:t>
                  </w:r>
                  <w:r>
                    <w:rPr>
                      <w:color w:val="auto"/>
                      <w:szCs w:val="21"/>
                    </w:rPr>
                    <w:t>层。</w:t>
                  </w:r>
                  <w:r>
                    <w:rPr>
                      <w:rFonts w:hint="eastAsia"/>
                      <w:color w:val="auto"/>
                      <w:szCs w:val="21"/>
                    </w:rPr>
                    <w:t>2栋教学综合楼与1栋行政办公楼总</w:t>
                  </w:r>
                  <w:r>
                    <w:rPr>
                      <w:color w:val="auto"/>
                      <w:szCs w:val="21"/>
                    </w:rPr>
                    <w:t>建筑面积为8337.97</w:t>
                  </w:r>
                  <w:r>
                    <w:rPr>
                      <w:rFonts w:hint="eastAsia"/>
                      <w:color w:val="auto"/>
                      <w:szCs w:val="21"/>
                    </w:rPr>
                    <w:t>m</w:t>
                  </w:r>
                  <w:r>
                    <w:rPr>
                      <w:rFonts w:hint="eastAsia"/>
                      <w:color w:val="auto"/>
                      <w:szCs w:val="21"/>
                      <w:vertAlign w:val="superscript"/>
                    </w:rPr>
                    <w:t>2</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行政办公楼</w:t>
                  </w:r>
                </w:p>
              </w:tc>
              <w:tc>
                <w:tcPr>
                  <w:tcW w:w="5507" w:type="dxa"/>
                  <w:vMerge w:val="continue"/>
                  <w:vAlign w:val="center"/>
                </w:tcPr>
                <w:p>
                  <w:pPr>
                    <w:ind w:right="113" w:firstLine="420" w:firstLineChars="200"/>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学生宿舍楼</w:t>
                  </w:r>
                </w:p>
              </w:tc>
              <w:tc>
                <w:tcPr>
                  <w:tcW w:w="5507" w:type="dxa"/>
                  <w:vMerge w:val="restart"/>
                  <w:vAlign w:val="center"/>
                </w:tcPr>
                <w:p>
                  <w:pPr>
                    <w:pStyle w:val="41"/>
                    <w:ind w:firstLine="420" w:firstLineChars="200"/>
                    <w:jc w:val="both"/>
                    <w:rPr>
                      <w:color w:val="auto"/>
                      <w:kern w:val="2"/>
                      <w:lang w:val="en-US" w:eastAsia="zh-CN"/>
                    </w:rPr>
                  </w:pPr>
                  <w:r>
                    <w:rPr>
                      <w:rFonts w:hint="eastAsia"/>
                      <w:color w:val="auto"/>
                      <w:kern w:val="2"/>
                      <w:lang w:val="en-US" w:eastAsia="zh-CN"/>
                    </w:rPr>
                    <w:t>宿舍楼分别为2栋学生宿舍楼，1栋教工公寓楼。学生宿舍楼楼层皆为6层，高度皆为21.75m</w:t>
                  </w:r>
                  <w:r>
                    <w:rPr>
                      <w:color w:val="auto"/>
                      <w:kern w:val="2"/>
                      <w:szCs w:val="21"/>
                      <w:lang w:val="en-US" w:eastAsia="zh-CN"/>
                    </w:rPr>
                    <w:t>（檐口）</w:t>
                  </w:r>
                  <w:r>
                    <w:rPr>
                      <w:rFonts w:hint="eastAsia"/>
                      <w:color w:val="auto"/>
                      <w:kern w:val="2"/>
                      <w:lang w:val="en-US" w:eastAsia="zh-CN"/>
                    </w:rPr>
                    <w:t>。两栋楼建筑面积皆为4546.32m</w:t>
                  </w:r>
                  <w:r>
                    <w:rPr>
                      <w:rFonts w:hint="eastAsia"/>
                      <w:color w:val="auto"/>
                      <w:kern w:val="2"/>
                      <w:vertAlign w:val="superscript"/>
                      <w:lang w:val="en-US" w:eastAsia="zh-CN"/>
                    </w:rPr>
                    <w:t>2</w:t>
                  </w:r>
                  <w:r>
                    <w:rPr>
                      <w:rFonts w:hint="eastAsia"/>
                      <w:color w:val="auto"/>
                      <w:kern w:val="2"/>
                      <w:lang w:val="en-US" w:eastAsia="zh-CN"/>
                    </w:rPr>
                    <w:t>，总建筑面积为9092.64m</w:t>
                  </w:r>
                  <w:r>
                    <w:rPr>
                      <w:rFonts w:hint="eastAsia"/>
                      <w:color w:val="auto"/>
                      <w:kern w:val="2"/>
                      <w:vertAlign w:val="superscript"/>
                      <w:lang w:val="en-US" w:eastAsia="zh-CN"/>
                    </w:rPr>
                    <w:t>2</w:t>
                  </w:r>
                  <w:r>
                    <w:rPr>
                      <w:rFonts w:hint="eastAsia"/>
                      <w:color w:val="auto"/>
                      <w:kern w:val="2"/>
                      <w:lang w:val="en-US" w:eastAsia="zh-CN"/>
                    </w:rPr>
                    <w:t>；教工公寓楼楼层为</w:t>
                  </w:r>
                  <w:r>
                    <w:rPr>
                      <w:color w:val="auto"/>
                      <w:kern w:val="2"/>
                      <w:szCs w:val="21"/>
                      <w:lang w:val="en-US" w:eastAsia="zh-CN"/>
                    </w:rPr>
                    <w:t>8层，高度为23.9m（檐口），总建筑面积为3026.45m</w:t>
                  </w:r>
                  <w:r>
                    <w:rPr>
                      <w:color w:val="auto"/>
                      <w:kern w:val="2"/>
                      <w:szCs w:val="21"/>
                      <w:vertAlign w:val="superscript"/>
                      <w:lang w:val="en-US" w:eastAsia="zh-CN"/>
                    </w:rPr>
                    <w:t>2</w:t>
                  </w:r>
                  <w:r>
                    <w:rPr>
                      <w:color w:val="auto"/>
                      <w:kern w:val="2"/>
                      <w:szCs w:val="21"/>
                      <w:lang w:val="en-US" w:eastAsia="zh-CN"/>
                    </w:rPr>
                    <w:t>，共计住宿间数为78间</w:t>
                  </w:r>
                  <w:r>
                    <w:rPr>
                      <w:color w:val="auto"/>
                      <w:kern w:val="2"/>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教工公寓楼</w:t>
                  </w:r>
                </w:p>
              </w:tc>
              <w:tc>
                <w:tcPr>
                  <w:tcW w:w="5507" w:type="dxa"/>
                  <w:vMerge w:val="continue"/>
                  <w:vAlign w:val="center"/>
                </w:tcPr>
                <w:p>
                  <w:pPr>
                    <w:pStyle w:val="41"/>
                    <w:ind w:firstLine="420" w:firstLineChars="200"/>
                    <w:jc w:val="both"/>
                    <w:rPr>
                      <w:color w:val="auto"/>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食堂会堂</w:t>
                  </w:r>
                </w:p>
                <w:p>
                  <w:pPr>
                    <w:pStyle w:val="41"/>
                    <w:rPr>
                      <w:color w:val="auto"/>
                      <w:kern w:val="2"/>
                      <w:lang w:val="en-US" w:eastAsia="zh-CN"/>
                    </w:rPr>
                  </w:pPr>
                  <w:r>
                    <w:rPr>
                      <w:rFonts w:hint="eastAsia"/>
                      <w:color w:val="auto"/>
                      <w:kern w:val="2"/>
                      <w:lang w:val="en-US" w:eastAsia="zh-CN"/>
                    </w:rPr>
                    <w:t>综合楼</w:t>
                  </w:r>
                </w:p>
              </w:tc>
              <w:tc>
                <w:tcPr>
                  <w:tcW w:w="5507" w:type="dxa"/>
                  <w:vAlign w:val="center"/>
                </w:tcPr>
                <w:p>
                  <w:pPr>
                    <w:pStyle w:val="41"/>
                    <w:ind w:firstLine="420" w:firstLineChars="200"/>
                    <w:jc w:val="both"/>
                    <w:rPr>
                      <w:color w:val="auto"/>
                      <w:kern w:val="2"/>
                      <w:lang w:val="en-US" w:eastAsia="zh-CN"/>
                    </w:rPr>
                  </w:pPr>
                  <w:r>
                    <w:rPr>
                      <w:rFonts w:hint="eastAsia"/>
                      <w:color w:val="auto"/>
                      <w:kern w:val="2"/>
                      <w:szCs w:val="21"/>
                      <w:lang w:val="en-US" w:eastAsia="zh-CN"/>
                    </w:rPr>
                    <w:t>1栋</w:t>
                  </w:r>
                  <w:r>
                    <w:rPr>
                      <w:rFonts w:hint="eastAsia"/>
                      <w:color w:val="auto"/>
                      <w:kern w:val="2"/>
                      <w:lang w:val="en-US" w:eastAsia="zh-CN"/>
                    </w:rPr>
                    <w:t>食堂会堂综合楼</w:t>
                  </w:r>
                  <w:r>
                    <w:rPr>
                      <w:rFonts w:hint="eastAsia"/>
                      <w:color w:val="auto"/>
                      <w:kern w:val="2"/>
                      <w:szCs w:val="21"/>
                      <w:lang w:val="en-US" w:eastAsia="zh-CN"/>
                    </w:rPr>
                    <w:t>，分为</w:t>
                  </w:r>
                  <w:r>
                    <w:rPr>
                      <w:color w:val="auto"/>
                      <w:kern w:val="2"/>
                      <w:szCs w:val="21"/>
                      <w:lang w:val="en-US" w:eastAsia="zh-CN"/>
                    </w:rPr>
                    <w:t>地下</w:t>
                  </w:r>
                  <w:r>
                    <w:rPr>
                      <w:rFonts w:hint="eastAsia"/>
                      <w:color w:val="auto"/>
                      <w:kern w:val="2"/>
                      <w:szCs w:val="21"/>
                      <w:lang w:val="en-US" w:eastAsia="zh-CN"/>
                    </w:rPr>
                    <w:t>1</w:t>
                  </w:r>
                  <w:r>
                    <w:rPr>
                      <w:color w:val="auto"/>
                      <w:kern w:val="2"/>
                      <w:szCs w:val="21"/>
                      <w:lang w:val="en-US" w:eastAsia="zh-CN"/>
                    </w:rPr>
                    <w:t>层</w:t>
                  </w:r>
                  <w:r>
                    <w:rPr>
                      <w:rFonts w:hint="eastAsia"/>
                      <w:color w:val="auto"/>
                      <w:kern w:val="2"/>
                      <w:szCs w:val="21"/>
                      <w:lang w:val="en-US" w:eastAsia="zh-CN"/>
                    </w:rPr>
                    <w:t>，</w:t>
                  </w:r>
                  <w:r>
                    <w:rPr>
                      <w:color w:val="auto"/>
                      <w:kern w:val="2"/>
                      <w:szCs w:val="21"/>
                      <w:lang w:val="en-US" w:eastAsia="zh-CN"/>
                    </w:rPr>
                    <w:t>地上</w:t>
                  </w:r>
                  <w:r>
                    <w:rPr>
                      <w:rFonts w:hint="eastAsia"/>
                      <w:color w:val="auto"/>
                      <w:kern w:val="2"/>
                      <w:szCs w:val="21"/>
                      <w:lang w:val="en-US" w:eastAsia="zh-CN"/>
                    </w:rPr>
                    <w:t>3</w:t>
                  </w:r>
                  <w:r>
                    <w:rPr>
                      <w:color w:val="auto"/>
                      <w:kern w:val="2"/>
                      <w:szCs w:val="21"/>
                      <w:lang w:val="en-US" w:eastAsia="zh-CN"/>
                    </w:rPr>
                    <w:t>层</w:t>
                  </w:r>
                  <w:r>
                    <w:rPr>
                      <w:rFonts w:hint="eastAsia"/>
                      <w:color w:val="auto"/>
                      <w:kern w:val="2"/>
                      <w:szCs w:val="21"/>
                      <w:lang w:val="en-US" w:eastAsia="zh-CN"/>
                    </w:rPr>
                    <w:t>。地下1</w:t>
                  </w:r>
                  <w:r>
                    <w:rPr>
                      <w:color w:val="auto"/>
                      <w:kern w:val="2"/>
                      <w:szCs w:val="21"/>
                      <w:lang w:val="en-US" w:eastAsia="zh-CN"/>
                    </w:rPr>
                    <w:t>层为停车库及设备用房；</w:t>
                  </w:r>
                  <w:r>
                    <w:rPr>
                      <w:rFonts w:hint="eastAsia"/>
                      <w:color w:val="auto"/>
                      <w:kern w:val="2"/>
                      <w:szCs w:val="21"/>
                      <w:lang w:val="en-US" w:eastAsia="zh-CN"/>
                    </w:rPr>
                    <w:t>1~2</w:t>
                  </w:r>
                  <w:r>
                    <w:rPr>
                      <w:color w:val="auto"/>
                      <w:kern w:val="2"/>
                      <w:szCs w:val="21"/>
                      <w:lang w:val="en-US" w:eastAsia="zh-CN"/>
                    </w:rPr>
                    <w:t>层为厨房、学生及教工餐厅等；</w:t>
                  </w:r>
                  <w:r>
                    <w:rPr>
                      <w:rFonts w:hint="eastAsia"/>
                      <w:color w:val="auto"/>
                      <w:kern w:val="2"/>
                      <w:szCs w:val="21"/>
                      <w:lang w:val="en-US" w:eastAsia="zh-CN"/>
                    </w:rPr>
                    <w:t>3</w:t>
                  </w:r>
                  <w:r>
                    <w:rPr>
                      <w:color w:val="auto"/>
                      <w:kern w:val="2"/>
                      <w:szCs w:val="21"/>
                      <w:lang w:val="en-US" w:eastAsia="zh-CN"/>
                    </w:rPr>
                    <w:t>层为学生室内活动场地。建筑高度为16.65m，</w:t>
                  </w:r>
                  <w:r>
                    <w:rPr>
                      <w:rFonts w:hint="eastAsia"/>
                      <w:color w:val="auto"/>
                      <w:kern w:val="2"/>
                      <w:szCs w:val="21"/>
                      <w:lang w:val="en-US" w:eastAsia="zh-CN"/>
                    </w:rPr>
                    <w:t>总</w:t>
                  </w:r>
                  <w:r>
                    <w:rPr>
                      <w:color w:val="auto"/>
                      <w:kern w:val="2"/>
                      <w:szCs w:val="21"/>
                      <w:lang w:val="en-US" w:eastAsia="zh-CN"/>
                    </w:rPr>
                    <w:t>建筑面积为5987.68m</w:t>
                  </w:r>
                  <w:r>
                    <w:rPr>
                      <w:color w:val="auto"/>
                      <w:kern w:val="2"/>
                      <w:szCs w:val="21"/>
                      <w:vertAlign w:val="superscript"/>
                      <w:lang w:val="en-US" w:eastAsia="zh-CN"/>
                    </w:rPr>
                    <w:t>2</w:t>
                  </w:r>
                  <w:r>
                    <w:rPr>
                      <w:color w:val="auto"/>
                      <w:kern w:val="2"/>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运动场</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包括田径场、5人制足球场、羽毛球场等，体育用地面积共10835m</w:t>
                  </w:r>
                  <w:r>
                    <w:rPr>
                      <w:color w:val="auto"/>
                      <w:kern w:val="2"/>
                      <w:vertAlign w:val="superscript"/>
                      <w:lang w:val="en-US" w:eastAsia="zh-CN"/>
                    </w:rPr>
                    <w:t>2</w:t>
                  </w:r>
                  <w:r>
                    <w:rPr>
                      <w:color w:val="auto"/>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1" w:type="dxa"/>
                  <w:vMerge w:val="restart"/>
                  <w:vAlign w:val="center"/>
                </w:tcPr>
                <w:p>
                  <w:pPr>
                    <w:pStyle w:val="41"/>
                    <w:rPr>
                      <w:color w:val="auto"/>
                      <w:kern w:val="2"/>
                      <w:lang w:val="en-US" w:eastAsia="zh-CN"/>
                    </w:rPr>
                  </w:pPr>
                  <w:r>
                    <w:rPr>
                      <w:rFonts w:hint="eastAsia"/>
                      <w:color w:val="auto"/>
                      <w:kern w:val="2"/>
                      <w:lang w:val="en-US" w:eastAsia="zh-CN"/>
                    </w:rPr>
                    <w:t>辅助工程</w:t>
                  </w:r>
                </w:p>
              </w:tc>
              <w:tc>
                <w:tcPr>
                  <w:tcW w:w="1522" w:type="dxa"/>
                  <w:vAlign w:val="center"/>
                </w:tcPr>
                <w:p>
                  <w:pPr>
                    <w:snapToGrid w:val="0"/>
                    <w:jc w:val="center"/>
                    <w:rPr>
                      <w:color w:val="auto"/>
                    </w:rPr>
                  </w:pPr>
                  <w:r>
                    <w:rPr>
                      <w:rFonts w:hint="eastAsia"/>
                      <w:color w:val="auto"/>
                      <w:szCs w:val="21"/>
                    </w:rPr>
                    <w:t>地下车库</w:t>
                  </w:r>
                </w:p>
              </w:tc>
              <w:tc>
                <w:tcPr>
                  <w:tcW w:w="5507" w:type="dxa"/>
                  <w:vAlign w:val="center"/>
                </w:tcPr>
                <w:p>
                  <w:pPr>
                    <w:ind w:right="113" w:firstLine="420" w:firstLineChars="200"/>
                    <w:rPr>
                      <w:color w:val="auto"/>
                    </w:rPr>
                  </w:pPr>
                  <w:r>
                    <w:rPr>
                      <w:rFonts w:hint="eastAsia"/>
                      <w:color w:val="auto"/>
                    </w:rPr>
                    <w:t>机动车地下停车位25个，建筑面积1512.48m</w:t>
                  </w:r>
                  <w:r>
                    <w:rPr>
                      <w:rFonts w:hint="eastAsia"/>
                      <w:color w:val="auto"/>
                      <w:vertAlign w:val="superscript"/>
                    </w:rPr>
                    <w:t>2</w:t>
                  </w:r>
                  <w:r>
                    <w:rPr>
                      <w:rFonts w:hint="eastAsia"/>
                      <w:color w:val="auto"/>
                    </w:rPr>
                    <w:t>，包含设备室。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snapToGrid w:val="0"/>
                    <w:jc w:val="center"/>
                    <w:rPr>
                      <w:color w:val="auto"/>
                    </w:rPr>
                  </w:pPr>
                  <w:r>
                    <w:rPr>
                      <w:rFonts w:hint="eastAsia"/>
                      <w:color w:val="auto"/>
                      <w:szCs w:val="21"/>
                    </w:rPr>
                    <w:t>地上停车场</w:t>
                  </w:r>
                </w:p>
              </w:tc>
              <w:tc>
                <w:tcPr>
                  <w:tcW w:w="5507" w:type="dxa"/>
                  <w:vAlign w:val="center"/>
                </w:tcPr>
                <w:p>
                  <w:pPr>
                    <w:ind w:right="113" w:firstLine="420" w:firstLineChars="200"/>
                    <w:rPr>
                      <w:color w:val="auto"/>
                    </w:rPr>
                  </w:pPr>
                  <w:r>
                    <w:rPr>
                      <w:rFonts w:hint="eastAsia"/>
                      <w:color w:val="auto"/>
                    </w:rPr>
                    <w:t>机动车地面停车位19个。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snapToGrid w:val="0"/>
                    <w:jc w:val="center"/>
                    <w:rPr>
                      <w:rFonts w:hint="eastAsia"/>
                      <w:color w:val="auto"/>
                      <w:szCs w:val="21"/>
                    </w:rPr>
                  </w:pPr>
                  <w:r>
                    <w:rPr>
                      <w:rFonts w:hint="eastAsia"/>
                      <w:color w:val="auto"/>
                      <w:szCs w:val="21"/>
                    </w:rPr>
                    <w:t>其他附属</w:t>
                  </w:r>
                </w:p>
                <w:p>
                  <w:pPr>
                    <w:snapToGrid w:val="0"/>
                    <w:jc w:val="center"/>
                    <w:rPr>
                      <w:color w:val="auto"/>
                      <w:szCs w:val="21"/>
                    </w:rPr>
                  </w:pPr>
                  <w:r>
                    <w:rPr>
                      <w:rFonts w:hint="eastAsia"/>
                      <w:color w:val="auto"/>
                      <w:szCs w:val="21"/>
                    </w:rPr>
                    <w:t>设施</w:t>
                  </w:r>
                </w:p>
              </w:tc>
              <w:tc>
                <w:tcPr>
                  <w:tcW w:w="5507" w:type="dxa"/>
                  <w:vAlign w:val="center"/>
                </w:tcPr>
                <w:p>
                  <w:pPr>
                    <w:ind w:right="113" w:firstLine="420" w:firstLineChars="200"/>
                    <w:rPr>
                      <w:color w:val="auto"/>
                    </w:rPr>
                  </w:pPr>
                  <w:r>
                    <w:rPr>
                      <w:rFonts w:hint="eastAsia"/>
                      <w:color w:val="auto"/>
                    </w:rPr>
                    <w:t>学校其他附属设施包括门卫室、看台处器材储藏间、广播间、看台。总建筑面积334.26m</w:t>
                  </w:r>
                  <w:r>
                    <w:rPr>
                      <w:rFonts w:hint="eastAsia"/>
                      <w:color w:val="auto"/>
                      <w:vertAlign w:val="superscript"/>
                    </w:rPr>
                    <w:t>2</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snapToGrid w:val="0"/>
                    <w:jc w:val="center"/>
                    <w:rPr>
                      <w:color w:val="auto"/>
                      <w:szCs w:val="21"/>
                    </w:rPr>
                  </w:pPr>
                  <w:r>
                    <w:rPr>
                      <w:rFonts w:hint="eastAsia"/>
                      <w:color w:val="auto"/>
                      <w:szCs w:val="21"/>
                    </w:rPr>
                    <w:t>实验废水</w:t>
                  </w:r>
                </w:p>
                <w:p>
                  <w:pPr>
                    <w:snapToGrid w:val="0"/>
                    <w:jc w:val="center"/>
                    <w:rPr>
                      <w:color w:val="auto"/>
                      <w:szCs w:val="21"/>
                    </w:rPr>
                  </w:pPr>
                  <w:r>
                    <w:rPr>
                      <w:rFonts w:hint="eastAsia"/>
                      <w:color w:val="auto"/>
                      <w:szCs w:val="21"/>
                    </w:rPr>
                    <w:t>预处理设施</w:t>
                  </w:r>
                </w:p>
              </w:tc>
              <w:tc>
                <w:tcPr>
                  <w:tcW w:w="5507" w:type="dxa"/>
                  <w:vAlign w:val="center"/>
                </w:tcPr>
                <w:p>
                  <w:pPr>
                    <w:ind w:right="113" w:firstLine="420" w:firstLineChars="200"/>
                    <w:rPr>
                      <w:color w:val="auto"/>
                    </w:rPr>
                  </w:pPr>
                  <w:r>
                    <w:rPr>
                      <w:rFonts w:hint="eastAsia"/>
                      <w:color w:val="auto"/>
                    </w:rPr>
                    <w:t>教学综合楼南侧设一个中和池处理实验废水，体积0.5</w:t>
                  </w:r>
                  <w:r>
                    <w:rPr>
                      <w:rFonts w:ascii="Arial" w:hAnsi="Arial" w:cs="Arial"/>
                      <w:color w:val="auto"/>
                    </w:rPr>
                    <w:t>×</w:t>
                  </w:r>
                  <w:r>
                    <w:rPr>
                      <w:rFonts w:hint="eastAsia"/>
                      <w:color w:val="auto"/>
                    </w:rPr>
                    <w:t>1</w:t>
                  </w:r>
                  <w:r>
                    <w:rPr>
                      <w:rFonts w:ascii="Arial" w:hAnsi="Arial" w:cs="Arial"/>
                      <w:color w:val="auto"/>
                    </w:rPr>
                    <w:t>×</w:t>
                  </w:r>
                  <w:r>
                    <w:rPr>
                      <w:rFonts w:hint="eastAsia"/>
                      <w:color w:val="auto"/>
                    </w:rPr>
                    <w:t>1=0.5m</w:t>
                  </w:r>
                  <w:r>
                    <w:rPr>
                      <w:rFonts w:hint="eastAsia"/>
                      <w:color w:val="auto"/>
                      <w:vertAlign w:val="superscript"/>
                    </w:rPr>
                    <w:t>3</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Align w:val="center"/>
                </w:tcPr>
                <w:p>
                  <w:pPr>
                    <w:pStyle w:val="41"/>
                    <w:rPr>
                      <w:color w:val="auto"/>
                      <w:kern w:val="2"/>
                      <w:lang w:val="en-US" w:eastAsia="zh-CN"/>
                    </w:rPr>
                  </w:pPr>
                  <w:r>
                    <w:rPr>
                      <w:rFonts w:hint="eastAsia"/>
                      <w:color w:val="auto"/>
                      <w:kern w:val="2"/>
                      <w:lang w:val="en-US" w:eastAsia="zh-CN"/>
                    </w:rPr>
                    <w:t>储运工程</w:t>
                  </w:r>
                </w:p>
              </w:tc>
              <w:tc>
                <w:tcPr>
                  <w:tcW w:w="1522" w:type="dxa"/>
                  <w:vAlign w:val="center"/>
                </w:tcPr>
                <w:p>
                  <w:pPr>
                    <w:pStyle w:val="41"/>
                    <w:rPr>
                      <w:color w:val="auto"/>
                      <w:kern w:val="2"/>
                      <w:lang w:val="en-US" w:eastAsia="zh-CN"/>
                    </w:rPr>
                  </w:pPr>
                  <w:r>
                    <w:rPr>
                      <w:rFonts w:hint="eastAsia"/>
                      <w:color w:val="auto"/>
                      <w:kern w:val="2"/>
                      <w:lang w:val="en-US" w:eastAsia="zh-CN"/>
                    </w:rPr>
                    <w:t>试剂库</w:t>
                  </w:r>
                </w:p>
              </w:tc>
              <w:tc>
                <w:tcPr>
                  <w:tcW w:w="5507" w:type="dxa"/>
                  <w:vAlign w:val="center"/>
                </w:tcPr>
                <w:p>
                  <w:pPr>
                    <w:ind w:right="113" w:firstLine="420" w:firstLineChars="200"/>
                    <w:rPr>
                      <w:color w:val="auto"/>
                    </w:rPr>
                  </w:pPr>
                  <w:r>
                    <w:rPr>
                      <w:rFonts w:hint="eastAsia"/>
                      <w:color w:val="auto"/>
                    </w:rPr>
                    <w:t>位于南教学综合楼5楼实验室内，面积为10m</w:t>
                  </w:r>
                  <w:r>
                    <w:rPr>
                      <w:rFonts w:hint="eastAsia"/>
                      <w:color w:val="auto"/>
                      <w:vertAlign w:val="superscript"/>
                    </w:rPr>
                    <w:t>2</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vAlign w:val="center"/>
                </w:tcPr>
                <w:p>
                  <w:pPr>
                    <w:pStyle w:val="41"/>
                    <w:rPr>
                      <w:color w:val="auto"/>
                      <w:kern w:val="2"/>
                      <w:lang w:val="en-US" w:eastAsia="zh-CN"/>
                    </w:rPr>
                  </w:pPr>
                  <w:r>
                    <w:rPr>
                      <w:color w:val="auto"/>
                      <w:kern w:val="2"/>
                      <w:lang w:val="en-US" w:eastAsia="zh-CN"/>
                    </w:rPr>
                    <w:t>公用工程</w:t>
                  </w:r>
                </w:p>
              </w:tc>
              <w:tc>
                <w:tcPr>
                  <w:tcW w:w="1522" w:type="dxa"/>
                  <w:vAlign w:val="center"/>
                </w:tcPr>
                <w:p>
                  <w:pPr>
                    <w:pStyle w:val="41"/>
                    <w:rPr>
                      <w:color w:val="auto"/>
                      <w:kern w:val="2"/>
                      <w:lang w:val="en-US" w:eastAsia="zh-CN"/>
                    </w:rPr>
                  </w:pPr>
                  <w:r>
                    <w:rPr>
                      <w:rFonts w:hint="eastAsia"/>
                      <w:color w:val="auto"/>
                      <w:kern w:val="2"/>
                      <w:lang w:val="en-US" w:eastAsia="zh-CN"/>
                    </w:rPr>
                    <w:t>供热</w:t>
                  </w:r>
                </w:p>
              </w:tc>
              <w:tc>
                <w:tcPr>
                  <w:tcW w:w="5507" w:type="dxa"/>
                  <w:vAlign w:val="center"/>
                </w:tcPr>
                <w:p>
                  <w:pPr>
                    <w:pStyle w:val="41"/>
                    <w:ind w:firstLine="420" w:firstLineChars="200"/>
                    <w:jc w:val="both"/>
                    <w:rPr>
                      <w:color w:val="auto"/>
                      <w:kern w:val="2"/>
                      <w:lang w:val="en-US" w:eastAsia="zh-CN"/>
                    </w:rPr>
                  </w:pPr>
                  <w:r>
                    <w:rPr>
                      <w:rFonts w:hint="eastAsia"/>
                      <w:color w:val="auto"/>
                      <w:kern w:val="2"/>
                      <w:lang w:val="en-US" w:eastAsia="zh-CN"/>
                    </w:rPr>
                    <w:t>学生宿舍楼热水由屋顶30t空气能热水器提供，两栋学生宿舍楼总量60t（2台）；教工公寓楼热水由电热水器提供，教工公寓楼共60套电热水器。每间宿舍、教室、办公室配置一台空调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供水</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依托市政供水系统。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排水</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雨污分流排水系统，雨水进市政雨水管网；污水进市政污水管网，最终汇入黄山市第二污水处理厂处理。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供电</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接市政供电系统10kV电源，地下</w:t>
                  </w:r>
                  <w:r>
                    <w:rPr>
                      <w:rFonts w:hint="eastAsia"/>
                      <w:color w:val="auto"/>
                      <w:kern w:val="2"/>
                      <w:lang w:val="en-US" w:eastAsia="zh-CN"/>
                    </w:rPr>
                    <w:t>设备用房配备2台</w:t>
                  </w:r>
                  <w:r>
                    <w:rPr>
                      <w:color w:val="auto"/>
                      <w:kern w:val="2"/>
                      <w:lang w:val="en-US" w:eastAsia="zh-CN"/>
                    </w:rPr>
                    <w:t>800kVA</w:t>
                  </w:r>
                  <w:r>
                    <w:rPr>
                      <w:rFonts w:hint="eastAsia"/>
                      <w:color w:val="auto"/>
                      <w:kern w:val="2"/>
                      <w:lang w:val="en-US" w:eastAsia="zh-CN"/>
                    </w:rPr>
                    <w:t>变压器</w:t>
                  </w:r>
                  <w:r>
                    <w:rPr>
                      <w:color w:val="auto"/>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消防</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学科楼室内各层均设置消火栓以及室内自动喷淋灭火系统，并配备移动式灭火装置</w:t>
                  </w:r>
                  <w:r>
                    <w:rPr>
                      <w:rFonts w:hint="eastAsia"/>
                      <w:color w:val="auto"/>
                      <w:kern w:val="2"/>
                      <w:lang w:val="en-US" w:eastAsia="zh-CN"/>
                    </w:rPr>
                    <w:t>，</w:t>
                  </w:r>
                  <w:r>
                    <w:rPr>
                      <w:color w:val="auto"/>
                      <w:kern w:val="2"/>
                      <w:lang w:val="en-US" w:eastAsia="zh-CN"/>
                    </w:rPr>
                    <w:t>室外设置消火栓、消防水泵</w:t>
                  </w:r>
                  <w:r>
                    <w:rPr>
                      <w:rFonts w:hint="eastAsia"/>
                      <w:color w:val="auto"/>
                      <w:kern w:val="2"/>
                      <w:lang w:val="en-US" w:eastAsia="zh-CN"/>
                    </w:rPr>
                    <w:t>，建有消防控制室</w:t>
                  </w:r>
                  <w:r>
                    <w:rPr>
                      <w:color w:val="auto"/>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restart"/>
                  <w:vAlign w:val="center"/>
                </w:tcPr>
                <w:p>
                  <w:pPr>
                    <w:pStyle w:val="41"/>
                    <w:spacing w:line="360" w:lineRule="auto"/>
                    <w:rPr>
                      <w:color w:val="auto"/>
                      <w:kern w:val="2"/>
                      <w:lang w:val="en-US" w:eastAsia="zh-CN"/>
                    </w:rPr>
                  </w:pPr>
                  <w:r>
                    <w:rPr>
                      <w:color w:val="auto"/>
                      <w:kern w:val="2"/>
                      <w:lang w:val="en-US" w:eastAsia="zh-CN"/>
                    </w:rPr>
                    <w:t>环保工程</w:t>
                  </w:r>
                </w:p>
              </w:tc>
              <w:tc>
                <w:tcPr>
                  <w:tcW w:w="1522" w:type="dxa"/>
                  <w:vAlign w:val="center"/>
                </w:tcPr>
                <w:p>
                  <w:pPr>
                    <w:pStyle w:val="41"/>
                    <w:rPr>
                      <w:color w:val="auto"/>
                      <w:kern w:val="2"/>
                      <w:lang w:val="en-US" w:eastAsia="zh-CN"/>
                    </w:rPr>
                  </w:pPr>
                  <w:r>
                    <w:rPr>
                      <w:color w:val="auto"/>
                      <w:kern w:val="2"/>
                      <w:lang w:val="en-US" w:eastAsia="zh-CN"/>
                    </w:rPr>
                    <w:t>废水治理</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雨、污分流排水系统，地块内的雨水排入市政雨水管网；</w:t>
                  </w:r>
                  <w:r>
                    <w:rPr>
                      <w:rFonts w:hint="eastAsia"/>
                      <w:color w:val="auto"/>
                      <w:kern w:val="2"/>
                      <w:lang w:val="en-US" w:eastAsia="zh-CN"/>
                    </w:rPr>
                    <w:t>实验废水经中和预处理后与经过隔油隔渣池处理的餐饮废水、</w:t>
                  </w:r>
                  <w:r>
                    <w:rPr>
                      <w:color w:val="auto"/>
                      <w:kern w:val="2"/>
                      <w:lang w:val="en-US" w:eastAsia="zh-CN"/>
                    </w:rPr>
                    <w:t>生活污水</w:t>
                  </w:r>
                  <w:r>
                    <w:rPr>
                      <w:rFonts w:hint="eastAsia"/>
                      <w:color w:val="auto"/>
                      <w:kern w:val="2"/>
                      <w:lang w:val="en-US" w:eastAsia="zh-CN"/>
                    </w:rPr>
                    <w:t>一道</w:t>
                  </w:r>
                  <w:r>
                    <w:rPr>
                      <w:color w:val="auto"/>
                      <w:kern w:val="2"/>
                      <w:lang w:val="en-US" w:eastAsia="zh-CN"/>
                    </w:rPr>
                    <w:t>经化粪池预处理</w:t>
                  </w:r>
                  <w:r>
                    <w:rPr>
                      <w:rFonts w:hint="eastAsia"/>
                      <w:color w:val="auto"/>
                      <w:kern w:val="2"/>
                      <w:lang w:val="en-US" w:eastAsia="zh-CN"/>
                    </w:rPr>
                    <w:t>，</w:t>
                  </w:r>
                  <w:r>
                    <w:rPr>
                      <w:color w:val="auto"/>
                      <w:kern w:val="2"/>
                      <w:lang w:val="en-CA" w:eastAsia="zh-CN"/>
                    </w:rPr>
                    <w:t>达到</w:t>
                  </w:r>
                  <w:r>
                    <w:rPr>
                      <w:color w:val="auto"/>
                      <w:kern w:val="2"/>
                      <w:lang w:val="zh-CN" w:eastAsia="zh-CN"/>
                    </w:rPr>
                    <w:t>《污水综合排放标准》（GB8978-1996）表4中三级标准</w:t>
                  </w:r>
                  <w:r>
                    <w:rPr>
                      <w:color w:val="auto"/>
                      <w:kern w:val="2"/>
                      <w:lang w:val="en-CA" w:eastAsia="zh-CN"/>
                    </w:rPr>
                    <w:t>，通过市政污水管网进入黄山市</w:t>
                  </w:r>
                  <w:r>
                    <w:rPr>
                      <w:rFonts w:hint="eastAsia"/>
                      <w:color w:val="auto"/>
                      <w:kern w:val="2"/>
                      <w:lang w:val="en-US" w:eastAsia="zh-CN"/>
                    </w:rPr>
                    <w:t>第二</w:t>
                  </w:r>
                  <w:r>
                    <w:rPr>
                      <w:color w:val="auto"/>
                      <w:kern w:val="2"/>
                      <w:lang w:val="en-CA" w:eastAsia="zh-CN"/>
                    </w:rPr>
                    <w:t>污水处理厂处理</w:t>
                  </w:r>
                  <w:r>
                    <w:rPr>
                      <w:color w:val="auto"/>
                      <w:kern w:val="2"/>
                      <w:lang w:val="en-US" w:eastAsia="zh-CN"/>
                    </w:rPr>
                    <w:t>，达到《城镇污水处理厂污染物排放标准》（GB18918-2002）中一级A标准后排入</w:t>
                  </w:r>
                  <w:r>
                    <w:rPr>
                      <w:rFonts w:hint="eastAsia"/>
                      <w:color w:val="auto"/>
                      <w:kern w:val="2"/>
                      <w:lang w:val="en-US" w:eastAsia="zh-CN"/>
                    </w:rPr>
                    <w:t>横</w:t>
                  </w:r>
                  <w:r>
                    <w:rPr>
                      <w:color w:val="auto"/>
                      <w:kern w:val="2"/>
                      <w:lang w:val="en-US" w:eastAsia="zh-CN"/>
                    </w:rPr>
                    <w:t>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废气治理</w:t>
                  </w:r>
                </w:p>
              </w:tc>
              <w:tc>
                <w:tcPr>
                  <w:tcW w:w="5507" w:type="dxa"/>
                  <w:vAlign w:val="center"/>
                </w:tcPr>
                <w:p>
                  <w:pPr>
                    <w:pStyle w:val="41"/>
                    <w:ind w:firstLine="420" w:firstLineChars="200"/>
                    <w:jc w:val="both"/>
                    <w:rPr>
                      <w:color w:val="auto"/>
                      <w:kern w:val="2"/>
                      <w:lang w:val="en-US" w:eastAsia="zh-CN"/>
                    </w:rPr>
                  </w:pPr>
                  <w:r>
                    <w:rPr>
                      <w:rFonts w:hint="eastAsia"/>
                      <w:color w:val="auto"/>
                      <w:kern w:val="2"/>
                      <w:lang w:val="en-US" w:eastAsia="zh-CN"/>
                    </w:rPr>
                    <w:t>实验室仅在试剂配制时产生实验室废气（含氯化氢、硫酸雾）。实验室安装专用通风橱，试剂配制全程在通风橱内进行，收集后经通风管道通过15m高排气筒排放</w:t>
                  </w:r>
                  <w:r>
                    <w:rPr>
                      <w:color w:val="auto"/>
                      <w:kern w:val="2"/>
                      <w:lang w:val="en-US" w:eastAsia="zh-CN"/>
                    </w:rPr>
                    <w:t>，汽车尾气经</w:t>
                  </w:r>
                  <w:r>
                    <w:rPr>
                      <w:rFonts w:hint="eastAsia"/>
                      <w:color w:val="auto"/>
                      <w:kern w:val="2"/>
                      <w:lang w:val="en-US" w:eastAsia="zh-CN"/>
                    </w:rPr>
                    <w:t>高于地面2.5m</w:t>
                  </w:r>
                  <w:r>
                    <w:rPr>
                      <w:color w:val="auto"/>
                      <w:kern w:val="2"/>
                      <w:lang w:val="en-US" w:eastAsia="zh-CN"/>
                    </w:rPr>
                    <w:t>专用管道排至建筑外围绿化带</w:t>
                  </w:r>
                  <w:r>
                    <w:rPr>
                      <w:rFonts w:hint="eastAsia"/>
                      <w:color w:val="auto"/>
                      <w:kern w:val="2"/>
                      <w:lang w:val="en-US" w:eastAsia="zh-CN"/>
                    </w:rPr>
                    <w:t>；餐饮油烟经油烟净化器处理后由高于屋顶排气筒排放。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固废治理</w:t>
                  </w:r>
                </w:p>
              </w:tc>
              <w:tc>
                <w:tcPr>
                  <w:tcW w:w="5507" w:type="dxa"/>
                  <w:vAlign w:val="center"/>
                </w:tcPr>
                <w:p>
                  <w:pPr>
                    <w:pStyle w:val="41"/>
                    <w:ind w:firstLine="420" w:firstLineChars="200"/>
                    <w:jc w:val="both"/>
                    <w:rPr>
                      <w:color w:val="auto"/>
                      <w:kern w:val="2"/>
                      <w:lang w:val="en-US" w:eastAsia="zh-CN"/>
                    </w:rPr>
                  </w:pPr>
                  <w:r>
                    <w:rPr>
                      <w:rFonts w:hint="eastAsia"/>
                      <w:color w:val="auto"/>
                      <w:kern w:val="2"/>
                      <w:lang w:val="en-US" w:eastAsia="zh-CN"/>
                    </w:rPr>
                    <w:t>在实验室内隔5m</w:t>
                  </w:r>
                  <w:r>
                    <w:rPr>
                      <w:rFonts w:hint="eastAsia"/>
                      <w:color w:val="auto"/>
                      <w:kern w:val="2"/>
                      <w:vertAlign w:val="superscript"/>
                      <w:lang w:val="en-US" w:eastAsia="zh-CN"/>
                    </w:rPr>
                    <w:t>2</w:t>
                  </w:r>
                  <w:r>
                    <w:rPr>
                      <w:rFonts w:hint="eastAsia"/>
                      <w:color w:val="auto"/>
                      <w:kern w:val="2"/>
                      <w:lang w:val="en-US" w:eastAsia="zh-CN"/>
                    </w:rPr>
                    <w:t>危废暂存间，用来存放危险废物，产生的危险废物交由有资质单位处置；在校园北侧设置垃圾暂存点（占地面积约18m</w:t>
                  </w:r>
                  <w:r>
                    <w:rPr>
                      <w:rFonts w:hint="eastAsia"/>
                      <w:color w:val="auto"/>
                      <w:kern w:val="2"/>
                      <w:vertAlign w:val="superscript"/>
                      <w:lang w:val="en-US" w:eastAsia="zh-CN"/>
                    </w:rPr>
                    <w:t>2</w:t>
                  </w:r>
                  <w:r>
                    <w:rPr>
                      <w:rFonts w:hint="eastAsia"/>
                      <w:color w:val="auto"/>
                      <w:kern w:val="2"/>
                      <w:vertAlign w:val="baseline"/>
                      <w:lang w:val="en-US" w:eastAsia="zh-CN"/>
                    </w:rPr>
                    <w:t>），</w:t>
                  </w:r>
                  <w:r>
                    <w:rPr>
                      <w:rFonts w:hint="eastAsia"/>
                      <w:color w:val="auto"/>
                      <w:kern w:val="2"/>
                      <w:lang w:val="en-US" w:eastAsia="zh-CN"/>
                    </w:rPr>
                    <w:t>未沾染危化品的废包装物及碎玻璃</w:t>
                  </w:r>
                  <w:r>
                    <w:rPr>
                      <w:rFonts w:hint="eastAsia"/>
                      <w:color w:val="auto"/>
                      <w:kern w:val="2"/>
                      <w:lang w:val="zh-CN" w:eastAsia="zh-CN"/>
                    </w:rPr>
                    <w:t>、生活垃圾</w:t>
                  </w:r>
                  <w:r>
                    <w:rPr>
                      <w:rFonts w:hint="eastAsia"/>
                      <w:color w:val="auto"/>
                      <w:kern w:val="2"/>
                      <w:lang w:val="en-US" w:eastAsia="zh-CN"/>
                    </w:rPr>
                    <w:t>分类收集后，能回收利用的外售回收利用，不能回收利用的</w:t>
                  </w:r>
                  <w:r>
                    <w:rPr>
                      <w:rFonts w:hint="eastAsia"/>
                      <w:color w:val="auto"/>
                      <w:kern w:val="2"/>
                      <w:lang w:val="zh-CN" w:eastAsia="zh-CN"/>
                    </w:rPr>
                    <w:t>交由环卫部门清运</w:t>
                  </w:r>
                  <w:r>
                    <w:rPr>
                      <w:rFonts w:hint="eastAsia"/>
                      <w:color w:val="auto"/>
                      <w:kern w:val="2"/>
                      <w:lang w:val="en-US" w:eastAsia="zh-CN"/>
                    </w:rPr>
                    <w:t>至黄山市</w:t>
                  </w:r>
                  <w:r>
                    <w:rPr>
                      <w:color w:val="auto"/>
                      <w:kern w:val="2"/>
                      <w:lang w:val="en-US" w:eastAsia="zh-CN"/>
                    </w:rPr>
                    <w:t>生活垃圾</w:t>
                  </w:r>
                  <w:r>
                    <w:rPr>
                      <w:rFonts w:hint="eastAsia"/>
                      <w:color w:val="auto"/>
                      <w:kern w:val="2"/>
                      <w:lang w:val="en-US" w:eastAsia="zh-CN"/>
                    </w:rPr>
                    <w:t>综合处理</w:t>
                  </w:r>
                  <w:r>
                    <w:rPr>
                      <w:color w:val="auto"/>
                      <w:kern w:val="2"/>
                      <w:lang w:val="en-US" w:eastAsia="zh-CN"/>
                    </w:rPr>
                    <w:t>厂</w:t>
                  </w:r>
                  <w:r>
                    <w:rPr>
                      <w:rFonts w:hint="eastAsia"/>
                      <w:color w:val="auto"/>
                      <w:kern w:val="2"/>
                      <w:lang w:val="en-US" w:eastAsia="zh-CN"/>
                    </w:rPr>
                    <w:t>焚烧处置</w:t>
                  </w:r>
                  <w:r>
                    <w:rPr>
                      <w:rFonts w:hint="eastAsia"/>
                      <w:color w:val="auto"/>
                      <w:kern w:val="2"/>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噪声防治</w:t>
                  </w:r>
                </w:p>
              </w:tc>
              <w:tc>
                <w:tcPr>
                  <w:tcW w:w="5507" w:type="dxa"/>
                  <w:vAlign w:val="center"/>
                </w:tcPr>
                <w:p>
                  <w:pPr>
                    <w:pStyle w:val="41"/>
                    <w:ind w:firstLine="420" w:firstLineChars="200"/>
                    <w:jc w:val="both"/>
                    <w:rPr>
                      <w:color w:val="auto"/>
                      <w:kern w:val="2"/>
                      <w:lang w:val="en-US" w:eastAsia="zh-CN"/>
                    </w:rPr>
                  </w:pPr>
                  <w:r>
                    <w:rPr>
                      <w:color w:val="auto"/>
                      <w:kern w:val="2"/>
                      <w:lang w:val="en-US" w:eastAsia="zh-CN"/>
                    </w:rPr>
                    <w:t>水泵、风机等采取隔音、减振、软连接等降噪措施。</w:t>
                  </w:r>
                </w:p>
                <w:p>
                  <w:pPr>
                    <w:pStyle w:val="41"/>
                    <w:jc w:val="both"/>
                    <w:rPr>
                      <w:color w:val="auto"/>
                      <w:kern w:val="2"/>
                      <w:lang w:val="en-US" w:eastAsia="zh-CN"/>
                    </w:rPr>
                  </w:pPr>
                  <w:r>
                    <w:rPr>
                      <w:rFonts w:hint="eastAsia"/>
                      <w:color w:val="auto"/>
                      <w:kern w:val="2"/>
                      <w:lang w:val="en-US" w:eastAsia="zh-CN"/>
                    </w:rPr>
                    <w:t>在学校外道路设置减速带降低经过车辆的速度，同时设置禁止鸣笛的标识，禁止经过的车辆鸣笛。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color w:val="auto"/>
                      <w:kern w:val="2"/>
                      <w:lang w:val="en-US" w:eastAsia="zh-CN"/>
                    </w:rPr>
                    <w:t>风险</w:t>
                  </w:r>
                  <w:r>
                    <w:rPr>
                      <w:rFonts w:hint="eastAsia"/>
                      <w:color w:val="auto"/>
                      <w:kern w:val="2"/>
                      <w:lang w:val="en-US" w:eastAsia="zh-CN"/>
                    </w:rPr>
                    <w:t>防范</w:t>
                  </w:r>
                </w:p>
              </w:tc>
              <w:tc>
                <w:tcPr>
                  <w:tcW w:w="5507" w:type="dxa"/>
                  <w:vAlign w:val="center"/>
                </w:tcPr>
                <w:p>
                  <w:pPr>
                    <w:ind w:firstLine="422" w:firstLineChars="200"/>
                    <w:rPr>
                      <w:b/>
                      <w:bCs/>
                      <w:color w:val="auto"/>
                      <w:szCs w:val="21"/>
                    </w:rPr>
                  </w:pPr>
                  <w:r>
                    <w:rPr>
                      <w:rFonts w:hint="eastAsia"/>
                      <w:b/>
                      <w:bCs/>
                      <w:color w:val="auto"/>
                      <w:szCs w:val="21"/>
                    </w:rPr>
                    <w:t>大气环境风险防范措施：</w:t>
                  </w:r>
                </w:p>
                <w:p>
                  <w:pPr>
                    <w:pStyle w:val="6"/>
                    <w:spacing w:before="0" w:after="0" w:line="240" w:lineRule="auto"/>
                    <w:ind w:firstLine="420" w:firstLineChars="200"/>
                    <w:rPr>
                      <w:rFonts w:ascii="宋体" w:hAnsi="宋体" w:eastAsia="宋体" w:cs="宋体"/>
                      <w:b w:val="0"/>
                      <w:bCs w:val="0"/>
                      <w:color w:val="auto"/>
                      <w:sz w:val="21"/>
                      <w:szCs w:val="21"/>
                    </w:rPr>
                  </w:pPr>
                  <w:r>
                    <w:rPr>
                      <w:rFonts w:hint="eastAsia" w:ascii="宋体" w:hAnsi="宋体" w:eastAsia="宋体" w:cs="宋体"/>
                      <w:b w:val="0"/>
                      <w:bCs w:val="0"/>
                      <w:color w:val="auto"/>
                      <w:sz w:val="21"/>
                      <w:szCs w:val="21"/>
                    </w:rPr>
                    <w:t>定时维护实验室集气排气设施，要加强管理，制定严格的实验操作规范，安全用电。本项目实验室使用的乙醇属于易燃物，应当储存得当，试剂库设置禁烟标志，采取严格的安全措施，严格控制点火源，配备合理的消防设施针。对实验室、试剂库、危废暂存间实时监控，需专人对其负责管理，设置事故状态下安全疏散通道。</w:t>
                  </w:r>
                </w:p>
                <w:p>
                  <w:pPr>
                    <w:ind w:firstLine="420" w:firstLineChars="200"/>
                    <w:rPr>
                      <w:color w:val="auto"/>
                      <w:szCs w:val="21"/>
                    </w:rPr>
                  </w:pPr>
                  <w:r>
                    <w:rPr>
                      <w:rFonts w:hint="eastAsia"/>
                      <w:color w:val="auto"/>
                      <w:szCs w:val="21"/>
                    </w:rPr>
                    <w:t>校园</w:t>
                  </w:r>
                  <w:r>
                    <w:rPr>
                      <w:color w:val="auto"/>
                      <w:szCs w:val="21"/>
                    </w:rPr>
                    <w:t>的电气设备应严格按照《爆炸和火灾危险环境电力装置设计规范》（GB50058－2014）进行设计、安装，达到整体防爆要求，并采取静电接地保护施；另外应加强工作人员的安全教育，保持工作面、设备表面清洁，采取正确的清扫方法，及时建设设备也是必不可少的防护措施。</w:t>
                  </w:r>
                </w:p>
                <w:p>
                  <w:pPr>
                    <w:ind w:firstLine="422" w:firstLineChars="200"/>
                    <w:rPr>
                      <w:b/>
                      <w:bCs/>
                      <w:color w:val="auto"/>
                      <w:szCs w:val="21"/>
                    </w:rPr>
                  </w:pPr>
                  <w:r>
                    <w:rPr>
                      <w:b/>
                      <w:bCs/>
                      <w:color w:val="auto"/>
                      <w:szCs w:val="21"/>
                    </w:rPr>
                    <w:t>事故废水环境风险防范措施</w:t>
                  </w:r>
                  <w:r>
                    <w:rPr>
                      <w:rFonts w:hint="eastAsia"/>
                      <w:b/>
                      <w:bCs/>
                      <w:color w:val="auto"/>
                      <w:szCs w:val="21"/>
                    </w:rPr>
                    <w:t>：</w:t>
                  </w:r>
                </w:p>
                <w:p>
                  <w:pPr>
                    <w:ind w:firstLine="420" w:firstLineChars="200"/>
                    <w:rPr>
                      <w:color w:val="auto"/>
                      <w:szCs w:val="21"/>
                    </w:rPr>
                  </w:pPr>
                  <w:r>
                    <w:rPr>
                      <w:color w:val="auto"/>
                      <w:szCs w:val="21"/>
                    </w:rPr>
                    <w:t>①建立风险防控体系要求，对水体的危害实现源头、终端</w:t>
                  </w:r>
                  <w:r>
                    <w:rPr>
                      <w:rFonts w:hint="eastAsia"/>
                      <w:color w:val="auto"/>
                      <w:szCs w:val="21"/>
                    </w:rPr>
                    <w:t>二</w:t>
                  </w:r>
                  <w:r>
                    <w:rPr>
                      <w:color w:val="auto"/>
                      <w:szCs w:val="21"/>
                    </w:rPr>
                    <w:t>级防控。</w:t>
                  </w:r>
                </w:p>
                <w:p>
                  <w:pPr>
                    <w:pStyle w:val="5"/>
                    <w:spacing w:before="0" w:beforeAutospacing="0" w:after="0" w:afterAutospacing="0"/>
                    <w:ind w:firstLine="420" w:firstLineChars="200"/>
                    <w:rPr>
                      <w:rFonts w:hint="default"/>
                      <w:b w:val="0"/>
                      <w:bCs w:val="0"/>
                      <w:color w:val="auto"/>
                      <w:sz w:val="21"/>
                      <w:szCs w:val="21"/>
                    </w:rPr>
                  </w:pPr>
                  <w:r>
                    <w:rPr>
                      <w:b w:val="0"/>
                      <w:bCs w:val="0"/>
                      <w:color w:val="auto"/>
                      <w:sz w:val="21"/>
                      <w:szCs w:val="21"/>
                    </w:rPr>
                    <w:t>②</w:t>
                  </w:r>
                  <w:r>
                    <w:rPr>
                      <w:rFonts w:hint="default" w:ascii="Times New Roman" w:hAnsi="Times New Roman"/>
                      <w:b w:val="0"/>
                      <w:bCs w:val="0"/>
                      <w:color w:val="auto"/>
                      <w:kern w:val="2"/>
                      <w:sz w:val="21"/>
                      <w:szCs w:val="21"/>
                    </w:rPr>
                    <w:t>危废暂存间、试剂库、实验室内</w:t>
                  </w:r>
                  <w:r>
                    <w:rPr>
                      <w:rFonts w:ascii="Times New Roman" w:hAnsi="Times New Roman"/>
                      <w:b w:val="0"/>
                      <w:bCs w:val="0"/>
                      <w:color w:val="auto"/>
                      <w:kern w:val="2"/>
                      <w:sz w:val="21"/>
                      <w:szCs w:val="21"/>
                    </w:rPr>
                    <w:t>的试剂密闭瓶装，瓶容量为500ml，放置在0.5m</w:t>
                  </w:r>
                  <w:r>
                    <w:rPr>
                      <w:rFonts w:hint="default" w:ascii="Times New Roman" w:hAnsi="Times New Roman"/>
                      <w:b w:val="0"/>
                      <w:bCs w:val="0"/>
                      <w:color w:val="auto"/>
                      <w:kern w:val="2"/>
                      <w:sz w:val="21"/>
                      <w:szCs w:val="21"/>
                    </w:rPr>
                    <w:t>×</w:t>
                  </w:r>
                  <w:r>
                    <w:rPr>
                      <w:rFonts w:ascii="Times New Roman" w:hAnsi="Times New Roman"/>
                      <w:b w:val="0"/>
                      <w:bCs w:val="0"/>
                      <w:color w:val="auto"/>
                      <w:kern w:val="2"/>
                      <w:sz w:val="21"/>
                      <w:szCs w:val="21"/>
                    </w:rPr>
                    <w:t>0.25m</w:t>
                  </w:r>
                  <w:r>
                    <w:rPr>
                      <w:rFonts w:hint="default" w:ascii="Times New Roman" w:hAnsi="Times New Roman"/>
                      <w:b w:val="0"/>
                      <w:bCs w:val="0"/>
                      <w:color w:val="auto"/>
                      <w:kern w:val="2"/>
                      <w:sz w:val="21"/>
                      <w:szCs w:val="21"/>
                    </w:rPr>
                    <w:t>×</w:t>
                  </w:r>
                  <w:r>
                    <w:rPr>
                      <w:rFonts w:ascii="Times New Roman" w:hAnsi="Times New Roman"/>
                      <w:b w:val="0"/>
                      <w:bCs w:val="0"/>
                      <w:color w:val="auto"/>
                      <w:kern w:val="2"/>
                      <w:sz w:val="21"/>
                      <w:szCs w:val="21"/>
                    </w:rPr>
                    <w:t>0.1m托盘上</w:t>
                  </w:r>
                  <w:r>
                    <w:rPr>
                      <w:rFonts w:hint="default" w:ascii="Times New Roman" w:hAnsi="Times New Roman"/>
                      <w:b w:val="0"/>
                      <w:bCs w:val="0"/>
                      <w:color w:val="auto"/>
                      <w:kern w:val="2"/>
                      <w:sz w:val="21"/>
                      <w:szCs w:val="21"/>
                    </w:rPr>
                    <w:t>，</w:t>
                  </w:r>
                  <w:r>
                    <w:rPr>
                      <w:rFonts w:ascii="Times New Roman" w:hAnsi="Times New Roman"/>
                      <w:b w:val="0"/>
                      <w:bCs w:val="0"/>
                      <w:color w:val="auto"/>
                      <w:kern w:val="2"/>
                      <w:sz w:val="21"/>
                      <w:szCs w:val="21"/>
                    </w:rPr>
                    <w:t>满足最大容量泄露量，</w:t>
                  </w:r>
                  <w:r>
                    <w:rPr>
                      <w:rFonts w:hint="default" w:ascii="Times New Roman" w:hAnsi="Times New Roman"/>
                      <w:b w:val="0"/>
                      <w:bCs w:val="0"/>
                      <w:color w:val="auto"/>
                      <w:kern w:val="2"/>
                      <w:sz w:val="21"/>
                      <w:szCs w:val="21"/>
                    </w:rPr>
                    <w:t>一旦发生物料泄漏，泄漏物料全部收集在</w:t>
                  </w:r>
                  <w:r>
                    <w:rPr>
                      <w:rFonts w:ascii="Times New Roman" w:hAnsi="Times New Roman"/>
                      <w:b w:val="0"/>
                      <w:bCs w:val="0"/>
                      <w:color w:val="auto"/>
                      <w:kern w:val="2"/>
                      <w:sz w:val="21"/>
                      <w:szCs w:val="21"/>
                    </w:rPr>
                    <w:t>托盘</w:t>
                  </w:r>
                  <w:r>
                    <w:rPr>
                      <w:rFonts w:hint="default" w:ascii="Times New Roman" w:hAnsi="Times New Roman"/>
                      <w:b w:val="0"/>
                      <w:bCs w:val="0"/>
                      <w:color w:val="auto"/>
                      <w:kern w:val="2"/>
                      <w:sz w:val="21"/>
                      <w:szCs w:val="21"/>
                    </w:rPr>
                    <w:t>内。</w:t>
                  </w:r>
                </w:p>
                <w:p>
                  <w:pPr>
                    <w:ind w:firstLine="422" w:firstLineChars="200"/>
                    <w:rPr>
                      <w:b/>
                      <w:bCs/>
                      <w:color w:val="auto"/>
                      <w:szCs w:val="21"/>
                    </w:rPr>
                  </w:pPr>
                  <w:r>
                    <w:rPr>
                      <w:rFonts w:hint="eastAsia"/>
                      <w:b/>
                      <w:bCs/>
                      <w:color w:val="auto"/>
                      <w:szCs w:val="21"/>
                    </w:rPr>
                    <w:t>地下水风险防范措施:</w:t>
                  </w:r>
                </w:p>
                <w:p>
                  <w:pPr>
                    <w:ind w:firstLine="420" w:firstLineChars="200"/>
                    <w:rPr>
                      <w:color w:val="auto"/>
                      <w:szCs w:val="21"/>
                    </w:rPr>
                  </w:pPr>
                  <w:r>
                    <w:rPr>
                      <w:color w:val="auto"/>
                      <w:szCs w:val="21"/>
                    </w:rPr>
                    <w:t>①加强源头控制，加强管理，将污染物跑、冒、滴、漏降低到最低限度。</w:t>
                  </w:r>
                </w:p>
                <w:p>
                  <w:pPr>
                    <w:ind w:firstLine="420" w:firstLineChars="200"/>
                    <w:rPr>
                      <w:color w:val="auto"/>
                      <w:szCs w:val="21"/>
                    </w:rPr>
                  </w:pPr>
                  <w:r>
                    <w:rPr>
                      <w:color w:val="auto"/>
                      <w:szCs w:val="21"/>
                    </w:rPr>
                    <w:t>②做好分区防腐防渗措施，避免事故废水、危化品和危险物质泄漏进入地下水和土壤。</w:t>
                  </w:r>
                </w:p>
                <w:p>
                  <w:pPr>
                    <w:ind w:firstLine="420" w:firstLineChars="200"/>
                    <w:rPr>
                      <w:color w:val="auto"/>
                      <w:szCs w:val="21"/>
                    </w:rPr>
                  </w:pPr>
                  <w:r>
                    <w:rPr>
                      <w:rFonts w:hint="eastAsia"/>
                      <w:color w:val="auto"/>
                      <w:szCs w:val="21"/>
                    </w:rPr>
                    <w:t>拟建项目实验室、危废暂存间、试剂库、中和池底及池壁为重点防腐防渗区，实验室、危废暂存间、试剂库地面与裙角基础必须防腐防渗，采取2mm厚高密度聚乙烯（HDPE），渗透系数≤10</w:t>
                  </w:r>
                  <w:r>
                    <w:rPr>
                      <w:rFonts w:hint="eastAsia"/>
                      <w:color w:val="auto"/>
                      <w:szCs w:val="21"/>
                      <w:vertAlign w:val="superscript"/>
                    </w:rPr>
                    <w:t>-10</w:t>
                  </w:r>
                  <w:r>
                    <w:rPr>
                      <w:rFonts w:hint="eastAsia"/>
                      <w:color w:val="auto"/>
                      <w:szCs w:val="21"/>
                    </w:rPr>
                    <w:t>cm/s，并刷环氧树脂涂层。）  分类放置在防渗漏的容器中。</w:t>
                  </w:r>
                </w:p>
                <w:p>
                  <w:pPr>
                    <w:ind w:firstLine="420" w:firstLineChars="200"/>
                    <w:rPr>
                      <w:color w:val="auto"/>
                      <w:szCs w:val="21"/>
                    </w:rPr>
                  </w:pPr>
                  <w:r>
                    <w:rPr>
                      <w:rFonts w:hint="eastAsia"/>
                      <w:color w:val="auto"/>
                      <w:szCs w:val="21"/>
                    </w:rPr>
                    <w:t>按要求编制应急预案。</w:t>
                  </w:r>
                </w:p>
                <w:p>
                  <w:pPr>
                    <w:ind w:firstLine="420" w:firstLineChars="200"/>
                    <w:rPr>
                      <w:color w:val="auto"/>
                    </w:rPr>
                  </w:pPr>
                  <w:r>
                    <w:rPr>
                      <w:rFonts w:hint="eastAsia"/>
                      <w:color w:val="auto"/>
                    </w:rPr>
                    <w:t>按相关要求储存化学危险品，并设置相应的通风、防爆、防火、灭火等安全设施；加强工作人员安全教育，树立安全意识，加强管理，</w:t>
                  </w:r>
                  <w:r>
                    <w:rPr>
                      <w:color w:val="auto"/>
                      <w:kern w:val="0"/>
                      <w:szCs w:val="21"/>
                    </w:rPr>
                    <w:t>配备应急设施和应急物资，并定期进行演练。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vMerge w:val="continue"/>
                  <w:vAlign w:val="center"/>
                </w:tcPr>
                <w:p>
                  <w:pPr>
                    <w:pStyle w:val="41"/>
                    <w:rPr>
                      <w:color w:val="auto"/>
                      <w:kern w:val="2"/>
                      <w:lang w:val="en-US" w:eastAsia="zh-CN"/>
                    </w:rPr>
                  </w:pPr>
                </w:p>
              </w:tc>
              <w:tc>
                <w:tcPr>
                  <w:tcW w:w="1522" w:type="dxa"/>
                  <w:vAlign w:val="center"/>
                </w:tcPr>
                <w:p>
                  <w:pPr>
                    <w:pStyle w:val="41"/>
                    <w:rPr>
                      <w:color w:val="auto"/>
                      <w:kern w:val="2"/>
                      <w:lang w:val="en-US" w:eastAsia="zh-CN"/>
                    </w:rPr>
                  </w:pPr>
                  <w:r>
                    <w:rPr>
                      <w:rFonts w:hint="eastAsia"/>
                      <w:color w:val="auto"/>
                      <w:kern w:val="2"/>
                      <w:lang w:val="en-US" w:eastAsia="zh-CN"/>
                    </w:rPr>
                    <w:t>生态防护</w:t>
                  </w:r>
                </w:p>
              </w:tc>
              <w:tc>
                <w:tcPr>
                  <w:tcW w:w="5507" w:type="dxa"/>
                  <w:vAlign w:val="center"/>
                </w:tcPr>
                <w:p>
                  <w:pPr>
                    <w:pStyle w:val="2"/>
                    <w:spacing w:line="240" w:lineRule="auto"/>
                    <w:ind w:firstLine="420"/>
                    <w:rPr>
                      <w:color w:val="auto"/>
                      <w:lang w:val="en-US" w:eastAsia="zh-CN"/>
                    </w:rPr>
                  </w:pPr>
                  <w:r>
                    <w:rPr>
                      <w:rFonts w:hint="eastAsia"/>
                      <w:color w:val="auto"/>
                      <w:sz w:val="21"/>
                      <w:szCs w:val="21"/>
                      <w:lang w:val="en-US" w:eastAsia="zh-CN"/>
                    </w:rPr>
                    <w:t>拟建项目现状为空地，用地范围内不涉及基本农田，不占用耕地、不使用林地。</w:t>
                  </w:r>
                  <w:r>
                    <w:rPr>
                      <w:color w:val="auto"/>
                      <w:sz w:val="21"/>
                      <w:szCs w:val="21"/>
                      <w:lang w:val="zh-CN" w:eastAsia="zh-CN"/>
                    </w:rPr>
                    <w:t>为防止水土流失，项目区采取避开雨季施工、临时开挖土方堆场设置围挡</w:t>
                  </w:r>
                  <w:r>
                    <w:rPr>
                      <w:rFonts w:hint="eastAsia"/>
                      <w:color w:val="auto"/>
                      <w:sz w:val="21"/>
                      <w:szCs w:val="21"/>
                      <w:lang w:val="zh-CN" w:eastAsia="zh-CN"/>
                    </w:rPr>
                    <w:t>覆盖</w:t>
                  </w:r>
                  <w:r>
                    <w:rPr>
                      <w:color w:val="auto"/>
                      <w:sz w:val="21"/>
                      <w:szCs w:val="21"/>
                      <w:lang w:val="zh-CN" w:eastAsia="zh-CN"/>
                    </w:rPr>
                    <w:t>、</w:t>
                  </w:r>
                  <w:r>
                    <w:rPr>
                      <w:rFonts w:hint="eastAsia"/>
                      <w:color w:val="auto"/>
                      <w:sz w:val="21"/>
                      <w:szCs w:val="21"/>
                      <w:lang w:val="zh-CN" w:eastAsia="zh-CN"/>
                    </w:rPr>
                    <w:t>土方</w:t>
                  </w:r>
                  <w:r>
                    <w:rPr>
                      <w:color w:val="auto"/>
                      <w:sz w:val="21"/>
                      <w:szCs w:val="21"/>
                      <w:lang w:val="zh-CN" w:eastAsia="zh-CN"/>
                    </w:rPr>
                    <w:t>四周设置雨水沟、</w:t>
                  </w:r>
                  <w:r>
                    <w:rPr>
                      <w:rFonts w:hint="eastAsia"/>
                      <w:color w:val="auto"/>
                      <w:sz w:val="21"/>
                      <w:szCs w:val="21"/>
                      <w:lang w:val="zh-CN" w:eastAsia="zh-CN"/>
                    </w:rPr>
                    <w:t>沉淀池、</w:t>
                  </w:r>
                  <w:r>
                    <w:rPr>
                      <w:color w:val="auto"/>
                      <w:sz w:val="21"/>
                      <w:szCs w:val="21"/>
                      <w:lang w:val="zh-CN" w:eastAsia="zh-CN"/>
                    </w:rPr>
                    <w:t>施工表层土单独存放、施工结束后及时回填用于绿化表层土等措施，</w:t>
                  </w:r>
                  <w:r>
                    <w:rPr>
                      <w:rFonts w:hint="eastAsia"/>
                      <w:color w:val="auto"/>
                      <w:sz w:val="21"/>
                      <w:szCs w:val="21"/>
                      <w:lang w:val="en-US" w:eastAsia="zh-CN"/>
                    </w:rPr>
                    <w:t>项目绿化面积7679.6m</w:t>
                  </w:r>
                  <w:r>
                    <w:rPr>
                      <w:rFonts w:hint="eastAsia"/>
                      <w:color w:val="auto"/>
                      <w:sz w:val="21"/>
                      <w:szCs w:val="21"/>
                      <w:vertAlign w:val="superscript"/>
                      <w:lang w:val="en-US" w:eastAsia="zh-CN"/>
                    </w:rPr>
                    <w:t>2</w:t>
                  </w:r>
                  <w:r>
                    <w:rPr>
                      <w:rFonts w:hint="eastAsia"/>
                      <w:color w:val="auto"/>
                      <w:sz w:val="21"/>
                      <w:szCs w:val="21"/>
                      <w:lang w:val="en-US" w:eastAsia="zh-CN"/>
                    </w:rPr>
                    <w:t>。</w:t>
                  </w:r>
                </w:p>
              </w:tc>
            </w:tr>
          </w:tbl>
          <w:p>
            <w:pPr>
              <w:pStyle w:val="4"/>
              <w:numPr>
                <w:ilvl w:val="0"/>
                <w:numId w:val="2"/>
              </w:numPr>
              <w:spacing w:beforeLines="100"/>
              <w:rPr>
                <w:color w:val="auto"/>
                <w:kern w:val="2"/>
                <w:szCs w:val="24"/>
                <w:lang w:val="en-US" w:eastAsia="zh-CN"/>
              </w:rPr>
            </w:pPr>
            <w:r>
              <w:rPr>
                <w:rFonts w:hint="eastAsia"/>
                <w:color w:val="auto"/>
                <w:kern w:val="2"/>
                <w:szCs w:val="24"/>
                <w:lang w:val="en-US" w:eastAsia="zh-CN"/>
              </w:rPr>
              <w:t>原辅材料</w:t>
            </w:r>
          </w:p>
          <w:p>
            <w:pPr>
              <w:spacing w:line="360" w:lineRule="auto"/>
              <w:ind w:firstLine="480" w:firstLineChars="200"/>
              <w:rPr>
                <w:color w:val="auto"/>
                <w:sz w:val="24"/>
              </w:rPr>
            </w:pPr>
            <w:r>
              <w:rPr>
                <w:rFonts w:hint="eastAsia"/>
                <w:color w:val="auto"/>
                <w:sz w:val="24"/>
              </w:rPr>
              <w:t>拟建项目涉及环境化学实验室所使用的化学试剂由试剂厂商提供，标样按照要求配置。建成投入使用后，实验室主要化学试剂、化学品消耗情况与理化性质见下表。</w:t>
            </w:r>
          </w:p>
          <w:p>
            <w:pPr>
              <w:ind w:firstLine="482"/>
              <w:jc w:val="center"/>
              <w:rPr>
                <w:b/>
                <w:color w:val="auto"/>
                <w:sz w:val="24"/>
              </w:rPr>
            </w:pPr>
            <w:r>
              <w:rPr>
                <w:b/>
                <w:color w:val="auto"/>
                <w:sz w:val="24"/>
              </w:rPr>
              <w:t>表</w:t>
            </w:r>
            <w:r>
              <w:rPr>
                <w:rFonts w:hint="eastAsia"/>
                <w:b/>
                <w:color w:val="auto"/>
                <w:sz w:val="24"/>
              </w:rPr>
              <w:t>2</w:t>
            </w:r>
            <w:r>
              <w:rPr>
                <w:b/>
                <w:color w:val="auto"/>
                <w:sz w:val="24"/>
              </w:rPr>
              <w:t>-</w:t>
            </w:r>
            <w:r>
              <w:rPr>
                <w:rFonts w:hint="eastAsia"/>
                <w:b/>
                <w:color w:val="auto"/>
                <w:sz w:val="24"/>
              </w:rPr>
              <w:t>2实验室主要化学品、化学试剂消耗</w:t>
            </w:r>
            <w:r>
              <w:rPr>
                <w:b/>
                <w:color w:val="auto"/>
                <w:sz w:val="24"/>
              </w:rPr>
              <w:t>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248"/>
              <w:gridCol w:w="1670"/>
              <w:gridCol w:w="1767"/>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83" w:type="pct"/>
                  <w:vAlign w:val="center"/>
                </w:tcPr>
                <w:p>
                  <w:pPr>
                    <w:pStyle w:val="41"/>
                    <w:rPr>
                      <w:b/>
                      <w:bCs/>
                      <w:color w:val="auto"/>
                      <w:kern w:val="2"/>
                      <w:lang w:val="en-US" w:eastAsia="zh-CN"/>
                    </w:rPr>
                  </w:pPr>
                  <w:r>
                    <w:rPr>
                      <w:rFonts w:hint="eastAsia"/>
                      <w:b/>
                      <w:bCs/>
                      <w:color w:val="auto"/>
                      <w:kern w:val="2"/>
                      <w:lang w:val="en-US" w:eastAsia="zh-CN"/>
                    </w:rPr>
                    <w:t>序号</w:t>
                  </w:r>
                </w:p>
              </w:tc>
              <w:tc>
                <w:tcPr>
                  <w:tcW w:w="786" w:type="pct"/>
                  <w:vAlign w:val="center"/>
                </w:tcPr>
                <w:p>
                  <w:pPr>
                    <w:pStyle w:val="41"/>
                    <w:rPr>
                      <w:b/>
                      <w:bCs/>
                      <w:color w:val="auto"/>
                      <w:kern w:val="2"/>
                      <w:lang w:val="en-US" w:eastAsia="zh-CN"/>
                    </w:rPr>
                  </w:pPr>
                  <w:r>
                    <w:rPr>
                      <w:rFonts w:hint="eastAsia"/>
                      <w:b/>
                      <w:bCs/>
                      <w:color w:val="auto"/>
                      <w:kern w:val="2"/>
                      <w:lang w:val="en-US" w:eastAsia="zh-CN"/>
                    </w:rPr>
                    <w:t>名称</w:t>
                  </w:r>
                </w:p>
              </w:tc>
              <w:tc>
                <w:tcPr>
                  <w:tcW w:w="1052" w:type="pct"/>
                  <w:vAlign w:val="center"/>
                </w:tcPr>
                <w:p>
                  <w:pPr>
                    <w:pStyle w:val="41"/>
                    <w:rPr>
                      <w:b/>
                      <w:bCs/>
                      <w:color w:val="auto"/>
                      <w:kern w:val="2"/>
                      <w:lang w:val="en-US" w:eastAsia="zh-CN"/>
                    </w:rPr>
                  </w:pPr>
                  <w:r>
                    <w:rPr>
                      <w:rFonts w:hint="eastAsia"/>
                      <w:b/>
                      <w:bCs/>
                      <w:color w:val="auto"/>
                      <w:kern w:val="2"/>
                      <w:lang w:val="en-US" w:eastAsia="zh-CN"/>
                    </w:rPr>
                    <w:t>年用量（kg）</w:t>
                  </w:r>
                </w:p>
              </w:tc>
              <w:tc>
                <w:tcPr>
                  <w:tcW w:w="1113" w:type="pct"/>
                  <w:vAlign w:val="center"/>
                </w:tcPr>
                <w:p>
                  <w:pPr>
                    <w:pStyle w:val="41"/>
                    <w:rPr>
                      <w:b/>
                      <w:bCs/>
                      <w:color w:val="auto"/>
                      <w:kern w:val="2"/>
                      <w:lang w:val="en-US" w:eastAsia="zh-CN"/>
                    </w:rPr>
                  </w:pPr>
                  <w:r>
                    <w:rPr>
                      <w:rFonts w:hint="eastAsia"/>
                      <w:b/>
                      <w:bCs/>
                      <w:color w:val="auto"/>
                      <w:kern w:val="2"/>
                      <w:lang w:val="en-US" w:eastAsia="zh-CN"/>
                    </w:rPr>
                    <w:t>最大储存量（kg）</w:t>
                  </w:r>
                </w:p>
              </w:tc>
              <w:tc>
                <w:tcPr>
                  <w:tcW w:w="1363" w:type="pct"/>
                  <w:vAlign w:val="center"/>
                </w:tcPr>
                <w:p>
                  <w:pPr>
                    <w:pStyle w:val="41"/>
                    <w:rPr>
                      <w:rFonts w:hint="default"/>
                      <w:b/>
                      <w:bCs/>
                      <w:color w:val="auto"/>
                      <w:kern w:val="2"/>
                      <w:lang w:val="en-US" w:eastAsia="zh-CN"/>
                    </w:rPr>
                  </w:pPr>
                  <w:r>
                    <w:rPr>
                      <w:rFonts w:hint="eastAsia"/>
                      <w:b/>
                      <w:bCs/>
                      <w:color w:val="auto"/>
                      <w:kern w:val="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83" w:type="pct"/>
                  <w:vAlign w:val="center"/>
                </w:tcPr>
                <w:p>
                  <w:pPr>
                    <w:pStyle w:val="41"/>
                    <w:rPr>
                      <w:color w:val="auto"/>
                      <w:kern w:val="2"/>
                      <w:lang w:val="en-US" w:eastAsia="zh-CN"/>
                    </w:rPr>
                  </w:pPr>
                  <w:r>
                    <w:rPr>
                      <w:rFonts w:hint="eastAsia"/>
                      <w:color w:val="auto"/>
                      <w:kern w:val="2"/>
                      <w:lang w:val="en-US" w:eastAsia="zh-CN"/>
                    </w:rPr>
                    <w:t>1</w:t>
                  </w:r>
                </w:p>
              </w:tc>
              <w:tc>
                <w:tcPr>
                  <w:tcW w:w="786" w:type="pct"/>
                  <w:vAlign w:val="center"/>
                </w:tcPr>
                <w:p>
                  <w:pPr>
                    <w:pStyle w:val="41"/>
                    <w:rPr>
                      <w:color w:val="auto"/>
                      <w:kern w:val="2"/>
                      <w:lang w:val="en-US" w:eastAsia="zh-CN"/>
                    </w:rPr>
                  </w:pPr>
                  <w:r>
                    <w:rPr>
                      <w:rFonts w:hint="eastAsia"/>
                      <w:color w:val="auto"/>
                      <w:kern w:val="2"/>
                      <w:lang w:val="en-US" w:eastAsia="zh-CN"/>
                    </w:rPr>
                    <w:t>硫酸</w:t>
                  </w:r>
                </w:p>
              </w:tc>
              <w:tc>
                <w:tcPr>
                  <w:tcW w:w="1052" w:type="pct"/>
                  <w:vAlign w:val="center"/>
                </w:tcPr>
                <w:p>
                  <w:pPr>
                    <w:pStyle w:val="41"/>
                    <w:rPr>
                      <w:color w:val="auto"/>
                      <w:kern w:val="2"/>
                      <w:lang w:val="en-US" w:eastAsia="zh-CN"/>
                    </w:rPr>
                  </w:pPr>
                  <w:r>
                    <w:rPr>
                      <w:rFonts w:hint="eastAsia"/>
                      <w:color w:val="auto"/>
                      <w:kern w:val="2"/>
                      <w:lang w:val="en-US" w:eastAsia="zh-CN"/>
                    </w:rPr>
                    <w:t>20</w:t>
                  </w:r>
                </w:p>
              </w:tc>
              <w:tc>
                <w:tcPr>
                  <w:tcW w:w="1113" w:type="pct"/>
                  <w:vAlign w:val="center"/>
                </w:tcPr>
                <w:p>
                  <w:pPr>
                    <w:pStyle w:val="41"/>
                    <w:rPr>
                      <w:color w:val="auto"/>
                      <w:kern w:val="2"/>
                      <w:lang w:val="en-US" w:eastAsia="zh-CN"/>
                    </w:rPr>
                  </w:pPr>
                  <w:r>
                    <w:rPr>
                      <w:rFonts w:hint="eastAsia"/>
                      <w:color w:val="auto"/>
                      <w:kern w:val="2"/>
                      <w:lang w:val="en-US" w:eastAsia="zh-CN"/>
                    </w:rPr>
                    <w:t>5</w:t>
                  </w:r>
                </w:p>
              </w:tc>
              <w:tc>
                <w:tcPr>
                  <w:tcW w:w="1363" w:type="pct"/>
                  <w:vAlign w:val="center"/>
                </w:tcPr>
                <w:p>
                  <w:pPr>
                    <w:pStyle w:val="41"/>
                    <w:rPr>
                      <w:color w:val="auto"/>
                      <w:kern w:val="2"/>
                      <w:lang w:val="en-US" w:eastAsia="zh-CN"/>
                    </w:rPr>
                  </w:pPr>
                  <w:r>
                    <w:rPr>
                      <w:rFonts w:hint="eastAsia"/>
                      <w:color w:val="auto"/>
                      <w:kern w:val="2"/>
                      <w:lang w:val="en-US" w:eastAsia="zh-CN"/>
                    </w:rPr>
                    <w:t>500g/瓶（浓度98.3%）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pct"/>
                  <w:vAlign w:val="center"/>
                </w:tcPr>
                <w:p>
                  <w:pPr>
                    <w:pStyle w:val="41"/>
                    <w:rPr>
                      <w:color w:val="auto"/>
                      <w:kern w:val="2"/>
                      <w:lang w:val="en-US" w:eastAsia="zh-CN"/>
                    </w:rPr>
                  </w:pPr>
                  <w:r>
                    <w:rPr>
                      <w:rFonts w:hint="eastAsia"/>
                      <w:color w:val="auto"/>
                      <w:kern w:val="2"/>
                      <w:lang w:val="en-US" w:eastAsia="zh-CN"/>
                    </w:rPr>
                    <w:t>2</w:t>
                  </w:r>
                </w:p>
              </w:tc>
              <w:tc>
                <w:tcPr>
                  <w:tcW w:w="786" w:type="pct"/>
                  <w:vAlign w:val="center"/>
                </w:tcPr>
                <w:p>
                  <w:pPr>
                    <w:pStyle w:val="41"/>
                    <w:rPr>
                      <w:color w:val="auto"/>
                      <w:kern w:val="2"/>
                      <w:lang w:val="en-US" w:eastAsia="zh-CN"/>
                    </w:rPr>
                  </w:pPr>
                  <w:r>
                    <w:rPr>
                      <w:rFonts w:hint="eastAsia"/>
                      <w:color w:val="auto"/>
                      <w:kern w:val="2"/>
                      <w:lang w:val="en-US" w:eastAsia="zh-CN"/>
                    </w:rPr>
                    <w:t>盐酸</w:t>
                  </w:r>
                </w:p>
              </w:tc>
              <w:tc>
                <w:tcPr>
                  <w:tcW w:w="1052" w:type="pct"/>
                  <w:vAlign w:val="center"/>
                </w:tcPr>
                <w:p>
                  <w:pPr>
                    <w:pStyle w:val="41"/>
                    <w:rPr>
                      <w:color w:val="auto"/>
                      <w:kern w:val="2"/>
                      <w:lang w:val="en-US" w:eastAsia="zh-CN"/>
                    </w:rPr>
                  </w:pPr>
                  <w:r>
                    <w:rPr>
                      <w:rFonts w:hint="eastAsia"/>
                      <w:color w:val="auto"/>
                      <w:kern w:val="2"/>
                      <w:lang w:val="en-US" w:eastAsia="zh-CN"/>
                    </w:rPr>
                    <w:t>40</w:t>
                  </w:r>
                </w:p>
              </w:tc>
              <w:tc>
                <w:tcPr>
                  <w:tcW w:w="1113" w:type="pct"/>
                  <w:vAlign w:val="center"/>
                </w:tcPr>
                <w:p>
                  <w:pPr>
                    <w:pStyle w:val="41"/>
                    <w:rPr>
                      <w:color w:val="auto"/>
                      <w:kern w:val="2"/>
                      <w:lang w:val="en-US" w:eastAsia="zh-CN"/>
                    </w:rPr>
                  </w:pPr>
                  <w:r>
                    <w:rPr>
                      <w:rFonts w:hint="eastAsia"/>
                      <w:color w:val="auto"/>
                      <w:kern w:val="2"/>
                      <w:lang w:val="en-US" w:eastAsia="zh-CN"/>
                    </w:rPr>
                    <w:t>5</w:t>
                  </w:r>
                </w:p>
              </w:tc>
              <w:tc>
                <w:tcPr>
                  <w:tcW w:w="1363" w:type="pct"/>
                  <w:vAlign w:val="center"/>
                </w:tcPr>
                <w:p>
                  <w:pPr>
                    <w:pStyle w:val="41"/>
                    <w:rPr>
                      <w:rFonts w:hint="default"/>
                      <w:color w:val="auto"/>
                      <w:kern w:val="2"/>
                      <w:lang w:val="en-US" w:eastAsia="zh-CN"/>
                    </w:rPr>
                  </w:pPr>
                  <w:r>
                    <w:rPr>
                      <w:rFonts w:hint="eastAsia"/>
                      <w:color w:val="auto"/>
                      <w:kern w:val="2"/>
                      <w:lang w:val="en-US" w:eastAsia="zh-CN"/>
                    </w:rPr>
                    <w:t>500g/瓶（浓度30%)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pPr>
                    <w:pStyle w:val="41"/>
                    <w:rPr>
                      <w:color w:val="auto"/>
                      <w:kern w:val="2"/>
                      <w:lang w:val="en-US" w:eastAsia="zh-CN"/>
                    </w:rPr>
                  </w:pPr>
                  <w:r>
                    <w:rPr>
                      <w:rFonts w:hint="eastAsia"/>
                      <w:color w:val="auto"/>
                      <w:kern w:val="2"/>
                      <w:lang w:val="en-US" w:eastAsia="zh-CN"/>
                    </w:rPr>
                    <w:t>3</w:t>
                  </w:r>
                </w:p>
              </w:tc>
              <w:tc>
                <w:tcPr>
                  <w:tcW w:w="786" w:type="pct"/>
                  <w:vAlign w:val="center"/>
                </w:tcPr>
                <w:p>
                  <w:pPr>
                    <w:pStyle w:val="41"/>
                    <w:rPr>
                      <w:color w:val="auto"/>
                      <w:kern w:val="2"/>
                      <w:lang w:val="en-US" w:eastAsia="zh-CN"/>
                    </w:rPr>
                  </w:pPr>
                  <w:r>
                    <w:rPr>
                      <w:rFonts w:hint="eastAsia"/>
                      <w:color w:val="auto"/>
                      <w:kern w:val="2"/>
                      <w:lang w:val="en-US" w:eastAsia="zh-CN"/>
                    </w:rPr>
                    <w:t>氢氧化钠</w:t>
                  </w:r>
                </w:p>
              </w:tc>
              <w:tc>
                <w:tcPr>
                  <w:tcW w:w="1052" w:type="pct"/>
                  <w:vAlign w:val="center"/>
                </w:tcPr>
                <w:p>
                  <w:pPr>
                    <w:pStyle w:val="41"/>
                    <w:rPr>
                      <w:rFonts w:hint="default"/>
                      <w:color w:val="auto"/>
                      <w:kern w:val="2"/>
                      <w:lang w:val="en-US" w:eastAsia="zh-CN"/>
                    </w:rPr>
                  </w:pPr>
                  <w:r>
                    <w:rPr>
                      <w:rFonts w:hint="eastAsia"/>
                      <w:color w:val="auto"/>
                      <w:kern w:val="2"/>
                      <w:lang w:val="en-US" w:eastAsia="zh-CN"/>
                    </w:rPr>
                    <w:t>40</w:t>
                  </w:r>
                </w:p>
              </w:tc>
              <w:tc>
                <w:tcPr>
                  <w:tcW w:w="1113" w:type="pct"/>
                  <w:vAlign w:val="center"/>
                </w:tcPr>
                <w:p>
                  <w:pPr>
                    <w:pStyle w:val="41"/>
                    <w:rPr>
                      <w:color w:val="auto"/>
                      <w:kern w:val="2"/>
                      <w:lang w:val="en-US" w:eastAsia="zh-CN"/>
                    </w:rPr>
                  </w:pPr>
                  <w:r>
                    <w:rPr>
                      <w:rFonts w:hint="eastAsia"/>
                      <w:color w:val="auto"/>
                      <w:kern w:val="2"/>
                      <w:lang w:val="en-US" w:eastAsia="zh-CN"/>
                    </w:rPr>
                    <w:t>10</w:t>
                  </w:r>
                </w:p>
              </w:tc>
              <w:tc>
                <w:tcPr>
                  <w:tcW w:w="1363" w:type="pct"/>
                  <w:vAlign w:val="center"/>
                </w:tcPr>
                <w:p>
                  <w:pPr>
                    <w:pStyle w:val="41"/>
                    <w:rPr>
                      <w:rFonts w:hint="eastAsia"/>
                      <w:color w:val="auto"/>
                      <w:kern w:val="2"/>
                      <w:lang w:val="en-US" w:eastAsia="zh-CN"/>
                    </w:rPr>
                  </w:pPr>
                  <w:r>
                    <w:rPr>
                      <w:rFonts w:hint="eastAsia"/>
                      <w:color w:val="auto"/>
                      <w:kern w:val="2"/>
                      <w:lang w:val="en-US" w:eastAsia="zh-CN"/>
                    </w:rPr>
                    <w:t>500g/瓶</w:t>
                  </w:r>
                </w:p>
                <w:p>
                  <w:pPr>
                    <w:pStyle w:val="41"/>
                    <w:rPr>
                      <w:color w:val="auto"/>
                      <w:kern w:val="2"/>
                      <w:lang w:val="en-US" w:eastAsia="zh-CN"/>
                    </w:rPr>
                  </w:pPr>
                  <w:r>
                    <w:rPr>
                      <w:rFonts w:hint="eastAsia"/>
                      <w:color w:val="auto"/>
                      <w:kern w:val="2"/>
                      <w:lang w:val="en-US" w:eastAsia="zh-CN"/>
                    </w:rPr>
                    <w:t>（白色固体）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pct"/>
                  <w:vAlign w:val="center"/>
                </w:tcPr>
                <w:p>
                  <w:pPr>
                    <w:pStyle w:val="41"/>
                    <w:rPr>
                      <w:color w:val="auto"/>
                      <w:kern w:val="2"/>
                      <w:lang w:val="en-US" w:eastAsia="zh-CN"/>
                    </w:rPr>
                  </w:pPr>
                  <w:r>
                    <w:rPr>
                      <w:rFonts w:hint="eastAsia"/>
                      <w:color w:val="auto"/>
                      <w:kern w:val="2"/>
                      <w:lang w:val="en-US" w:eastAsia="zh-CN"/>
                    </w:rPr>
                    <w:t>4</w:t>
                  </w:r>
                </w:p>
              </w:tc>
              <w:tc>
                <w:tcPr>
                  <w:tcW w:w="786" w:type="pct"/>
                  <w:vAlign w:val="center"/>
                </w:tcPr>
                <w:p>
                  <w:pPr>
                    <w:pStyle w:val="41"/>
                    <w:rPr>
                      <w:color w:val="auto"/>
                      <w:kern w:val="2"/>
                      <w:lang w:val="en-US" w:eastAsia="zh-CN"/>
                    </w:rPr>
                  </w:pPr>
                  <w:r>
                    <w:rPr>
                      <w:rFonts w:hint="eastAsia"/>
                      <w:color w:val="auto"/>
                      <w:kern w:val="2"/>
                      <w:lang w:val="en-US" w:eastAsia="zh-CN"/>
                    </w:rPr>
                    <w:t>乙醇</w:t>
                  </w:r>
                </w:p>
              </w:tc>
              <w:tc>
                <w:tcPr>
                  <w:tcW w:w="1052" w:type="pct"/>
                  <w:vAlign w:val="center"/>
                </w:tcPr>
                <w:p>
                  <w:pPr>
                    <w:pStyle w:val="41"/>
                    <w:rPr>
                      <w:color w:val="auto"/>
                      <w:kern w:val="2"/>
                      <w:lang w:val="en-US" w:eastAsia="zh-CN"/>
                    </w:rPr>
                  </w:pPr>
                  <w:r>
                    <w:rPr>
                      <w:rFonts w:hint="eastAsia"/>
                      <w:color w:val="auto"/>
                      <w:kern w:val="2"/>
                      <w:lang w:val="en-US" w:eastAsia="zh-CN"/>
                    </w:rPr>
                    <w:t>40</w:t>
                  </w:r>
                </w:p>
              </w:tc>
              <w:tc>
                <w:tcPr>
                  <w:tcW w:w="1113" w:type="pct"/>
                  <w:vAlign w:val="center"/>
                </w:tcPr>
                <w:p>
                  <w:pPr>
                    <w:pStyle w:val="41"/>
                    <w:rPr>
                      <w:color w:val="auto"/>
                      <w:kern w:val="2"/>
                      <w:lang w:val="en-US" w:eastAsia="zh-CN"/>
                    </w:rPr>
                  </w:pPr>
                  <w:r>
                    <w:rPr>
                      <w:rFonts w:hint="eastAsia"/>
                      <w:color w:val="auto"/>
                      <w:kern w:val="2"/>
                      <w:lang w:val="en-US" w:eastAsia="zh-CN"/>
                    </w:rPr>
                    <w:t>5</w:t>
                  </w:r>
                </w:p>
              </w:tc>
              <w:tc>
                <w:tcPr>
                  <w:tcW w:w="1363" w:type="pct"/>
                  <w:vAlign w:val="center"/>
                </w:tcPr>
                <w:p>
                  <w:pPr>
                    <w:pStyle w:val="41"/>
                    <w:rPr>
                      <w:rFonts w:hint="eastAsia"/>
                      <w:color w:val="auto"/>
                      <w:kern w:val="2"/>
                      <w:lang w:val="en-US" w:eastAsia="zh-CN"/>
                    </w:rPr>
                  </w:pPr>
                  <w:r>
                    <w:rPr>
                      <w:rFonts w:hint="eastAsia"/>
                      <w:color w:val="auto"/>
                      <w:kern w:val="2"/>
                      <w:lang w:val="en-US" w:eastAsia="zh-CN"/>
                    </w:rPr>
                    <w:t>500g/瓶（浓度99%）</w:t>
                  </w:r>
                </w:p>
                <w:p>
                  <w:pPr>
                    <w:pStyle w:val="41"/>
                    <w:rPr>
                      <w:rFonts w:hint="default"/>
                      <w:color w:val="auto"/>
                      <w:kern w:val="2"/>
                      <w:lang w:val="en-US" w:eastAsia="zh-CN"/>
                    </w:rPr>
                  </w:pPr>
                  <w:r>
                    <w:rPr>
                      <w:rFonts w:hint="eastAsia"/>
                      <w:color w:val="auto"/>
                      <w:kern w:val="2"/>
                      <w:lang w:val="en-US" w:eastAsia="zh-CN"/>
                    </w:rPr>
                    <w:t>作为酒精灯燃料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83" w:type="pct"/>
                  <w:vAlign w:val="center"/>
                </w:tcPr>
                <w:p>
                  <w:pPr>
                    <w:pStyle w:val="41"/>
                    <w:rPr>
                      <w:color w:val="auto"/>
                      <w:kern w:val="2"/>
                      <w:lang w:val="en-US" w:eastAsia="zh-CN"/>
                    </w:rPr>
                  </w:pPr>
                  <w:r>
                    <w:rPr>
                      <w:rFonts w:hint="eastAsia"/>
                      <w:color w:val="auto"/>
                      <w:kern w:val="2"/>
                      <w:lang w:val="en-US" w:eastAsia="zh-CN"/>
                    </w:rPr>
                    <w:t>5</w:t>
                  </w:r>
                </w:p>
              </w:tc>
              <w:tc>
                <w:tcPr>
                  <w:tcW w:w="786" w:type="pct"/>
                  <w:vAlign w:val="center"/>
                </w:tcPr>
                <w:p>
                  <w:pPr>
                    <w:pStyle w:val="41"/>
                    <w:rPr>
                      <w:color w:val="auto"/>
                      <w:kern w:val="2"/>
                      <w:lang w:val="en-US" w:eastAsia="zh-CN"/>
                    </w:rPr>
                  </w:pPr>
                  <w:r>
                    <w:rPr>
                      <w:rFonts w:hint="eastAsia"/>
                      <w:color w:val="auto"/>
                      <w:kern w:val="2"/>
                      <w:lang w:val="en-US" w:eastAsia="zh-CN"/>
                    </w:rPr>
                    <w:t>过氧化氢</w:t>
                  </w:r>
                </w:p>
              </w:tc>
              <w:tc>
                <w:tcPr>
                  <w:tcW w:w="1052" w:type="pct"/>
                  <w:vAlign w:val="center"/>
                </w:tcPr>
                <w:p>
                  <w:pPr>
                    <w:pStyle w:val="41"/>
                    <w:rPr>
                      <w:color w:val="auto"/>
                      <w:kern w:val="2"/>
                      <w:lang w:val="en-US" w:eastAsia="zh-CN"/>
                    </w:rPr>
                  </w:pPr>
                  <w:r>
                    <w:rPr>
                      <w:rFonts w:hint="eastAsia"/>
                      <w:color w:val="auto"/>
                      <w:kern w:val="2"/>
                      <w:lang w:val="en-US" w:eastAsia="zh-CN"/>
                    </w:rPr>
                    <w:t>30</w:t>
                  </w:r>
                </w:p>
              </w:tc>
              <w:tc>
                <w:tcPr>
                  <w:tcW w:w="1113" w:type="pct"/>
                  <w:vAlign w:val="center"/>
                </w:tcPr>
                <w:p>
                  <w:pPr>
                    <w:pStyle w:val="41"/>
                    <w:rPr>
                      <w:color w:val="auto"/>
                      <w:kern w:val="2"/>
                      <w:lang w:val="en-US" w:eastAsia="zh-CN"/>
                    </w:rPr>
                  </w:pPr>
                  <w:r>
                    <w:rPr>
                      <w:rFonts w:hint="eastAsia"/>
                      <w:color w:val="auto"/>
                      <w:kern w:val="2"/>
                      <w:lang w:val="en-US" w:eastAsia="zh-CN"/>
                    </w:rPr>
                    <w:t>5</w:t>
                  </w:r>
                </w:p>
              </w:tc>
              <w:tc>
                <w:tcPr>
                  <w:tcW w:w="1363" w:type="pct"/>
                  <w:vAlign w:val="center"/>
                </w:tcPr>
                <w:p>
                  <w:pPr>
                    <w:pStyle w:val="41"/>
                    <w:rPr>
                      <w:color w:val="auto"/>
                      <w:kern w:val="2"/>
                      <w:lang w:val="en-US" w:eastAsia="zh-CN"/>
                    </w:rPr>
                  </w:pPr>
                  <w:r>
                    <w:rPr>
                      <w:rFonts w:hint="eastAsia"/>
                      <w:color w:val="auto"/>
                      <w:kern w:val="2"/>
                      <w:lang w:val="en-US" w:eastAsia="zh-CN"/>
                    </w:rPr>
                    <w:t>500g/瓶（浓度30%）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83" w:type="pct"/>
                  <w:vAlign w:val="center"/>
                </w:tcPr>
                <w:p>
                  <w:pPr>
                    <w:pStyle w:val="41"/>
                    <w:rPr>
                      <w:color w:val="auto"/>
                      <w:kern w:val="2"/>
                      <w:lang w:val="en-US" w:eastAsia="zh-CN"/>
                    </w:rPr>
                  </w:pPr>
                  <w:r>
                    <w:rPr>
                      <w:rFonts w:hint="eastAsia"/>
                      <w:color w:val="auto"/>
                      <w:kern w:val="2"/>
                      <w:lang w:val="en-US" w:eastAsia="zh-CN"/>
                    </w:rPr>
                    <w:t>6</w:t>
                  </w:r>
                </w:p>
              </w:tc>
              <w:tc>
                <w:tcPr>
                  <w:tcW w:w="786" w:type="pct"/>
                  <w:vAlign w:val="center"/>
                </w:tcPr>
                <w:p>
                  <w:pPr>
                    <w:pStyle w:val="41"/>
                    <w:rPr>
                      <w:color w:val="auto"/>
                      <w:kern w:val="2"/>
                      <w:lang w:val="en-US" w:eastAsia="zh-CN"/>
                    </w:rPr>
                  </w:pPr>
                  <w:r>
                    <w:rPr>
                      <w:rFonts w:hint="eastAsia"/>
                      <w:color w:val="auto"/>
                      <w:kern w:val="2"/>
                      <w:lang w:val="en-US" w:eastAsia="zh-CN"/>
                    </w:rPr>
                    <w:t>高锰酸钾</w:t>
                  </w:r>
                </w:p>
              </w:tc>
              <w:tc>
                <w:tcPr>
                  <w:tcW w:w="1052" w:type="pct"/>
                  <w:vAlign w:val="center"/>
                </w:tcPr>
                <w:p>
                  <w:pPr>
                    <w:pStyle w:val="41"/>
                    <w:rPr>
                      <w:color w:val="auto"/>
                      <w:kern w:val="2"/>
                      <w:lang w:val="en-US" w:eastAsia="zh-CN"/>
                    </w:rPr>
                  </w:pPr>
                  <w:r>
                    <w:rPr>
                      <w:rFonts w:hint="eastAsia"/>
                      <w:color w:val="auto"/>
                      <w:kern w:val="2"/>
                      <w:lang w:val="en-US" w:eastAsia="zh-CN"/>
                    </w:rPr>
                    <w:t>5</w:t>
                  </w:r>
                </w:p>
              </w:tc>
              <w:tc>
                <w:tcPr>
                  <w:tcW w:w="1113" w:type="pct"/>
                  <w:vAlign w:val="center"/>
                </w:tcPr>
                <w:p>
                  <w:pPr>
                    <w:pStyle w:val="41"/>
                    <w:rPr>
                      <w:color w:val="auto"/>
                      <w:kern w:val="2"/>
                      <w:lang w:val="en-US" w:eastAsia="zh-CN"/>
                    </w:rPr>
                  </w:pPr>
                  <w:r>
                    <w:rPr>
                      <w:rFonts w:hint="eastAsia"/>
                      <w:color w:val="auto"/>
                      <w:kern w:val="2"/>
                      <w:lang w:val="en-US" w:eastAsia="zh-CN"/>
                    </w:rPr>
                    <w:t>5</w:t>
                  </w:r>
                </w:p>
              </w:tc>
              <w:tc>
                <w:tcPr>
                  <w:tcW w:w="1363" w:type="pct"/>
                  <w:vAlign w:val="center"/>
                </w:tcPr>
                <w:p>
                  <w:pPr>
                    <w:pStyle w:val="41"/>
                    <w:rPr>
                      <w:rFonts w:hint="eastAsia"/>
                      <w:color w:val="auto"/>
                      <w:kern w:val="2"/>
                      <w:lang w:val="en-US" w:eastAsia="zh-CN"/>
                    </w:rPr>
                  </w:pPr>
                  <w:r>
                    <w:rPr>
                      <w:rFonts w:hint="eastAsia"/>
                      <w:color w:val="auto"/>
                      <w:kern w:val="2"/>
                      <w:lang w:val="en-US" w:eastAsia="zh-CN"/>
                    </w:rPr>
                    <w:t>500g/瓶</w:t>
                  </w:r>
                </w:p>
                <w:p>
                  <w:pPr>
                    <w:pStyle w:val="41"/>
                    <w:rPr>
                      <w:color w:val="auto"/>
                      <w:kern w:val="2"/>
                      <w:lang w:val="en-US" w:eastAsia="zh-CN"/>
                    </w:rPr>
                  </w:pPr>
                  <w:r>
                    <w:rPr>
                      <w:rFonts w:hint="eastAsia"/>
                      <w:color w:val="auto"/>
                      <w:kern w:val="2"/>
                      <w:lang w:val="en-US" w:eastAsia="zh-CN"/>
                    </w:rPr>
                    <w:t>（深紫色固体）</w:t>
                  </w:r>
                </w:p>
              </w:tc>
            </w:tr>
          </w:tbl>
          <w:p>
            <w:pPr>
              <w:snapToGrid w:val="0"/>
              <w:spacing w:line="480" w:lineRule="exact"/>
              <w:ind w:firstLine="482"/>
              <w:jc w:val="center"/>
              <w:outlineLvl w:val="2"/>
              <w:rPr>
                <w:rFonts w:hint="eastAsia"/>
                <w:b/>
                <w:color w:val="auto"/>
                <w:sz w:val="24"/>
              </w:rPr>
            </w:pPr>
          </w:p>
          <w:p>
            <w:pPr>
              <w:snapToGrid w:val="0"/>
              <w:spacing w:line="480" w:lineRule="exact"/>
              <w:ind w:firstLine="482"/>
              <w:jc w:val="center"/>
              <w:outlineLvl w:val="2"/>
              <w:rPr>
                <w:b/>
                <w:color w:val="auto"/>
                <w:sz w:val="24"/>
              </w:rPr>
            </w:pPr>
            <w:r>
              <w:rPr>
                <w:rFonts w:hint="eastAsia"/>
                <w:b/>
                <w:color w:val="auto"/>
                <w:sz w:val="24"/>
              </w:rPr>
              <w:t>表2-3  建设项目实验室化学品理化性质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36"/>
              <w:gridCol w:w="2830"/>
              <w:gridCol w:w="159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b/>
                      <w:bCs/>
                      <w:color w:val="auto"/>
                      <w:kern w:val="2"/>
                      <w:lang w:val="en-US" w:eastAsia="zh-CN"/>
                    </w:rPr>
                  </w:pPr>
                  <w:r>
                    <w:rPr>
                      <w:rFonts w:hint="eastAsia"/>
                      <w:b/>
                      <w:bCs/>
                      <w:color w:val="auto"/>
                      <w:kern w:val="2"/>
                      <w:lang w:val="en-US" w:eastAsia="zh-CN"/>
                    </w:rPr>
                    <w:t>名称</w:t>
                  </w:r>
                </w:p>
              </w:tc>
              <w:tc>
                <w:tcPr>
                  <w:tcW w:w="975" w:type="dxa"/>
                  <w:vAlign w:val="center"/>
                </w:tcPr>
                <w:p>
                  <w:pPr>
                    <w:pStyle w:val="41"/>
                    <w:rPr>
                      <w:b/>
                      <w:bCs/>
                      <w:color w:val="auto"/>
                      <w:kern w:val="2"/>
                      <w:lang w:val="en-US" w:eastAsia="zh-CN"/>
                    </w:rPr>
                  </w:pPr>
                  <w:r>
                    <w:rPr>
                      <w:rFonts w:hint="eastAsia"/>
                      <w:b/>
                      <w:bCs/>
                      <w:color w:val="auto"/>
                      <w:kern w:val="2"/>
                      <w:lang w:val="en-US" w:eastAsia="zh-CN"/>
                    </w:rPr>
                    <w:t>分子式</w:t>
                  </w:r>
                </w:p>
              </w:tc>
              <w:tc>
                <w:tcPr>
                  <w:tcW w:w="2974" w:type="dxa"/>
                  <w:vAlign w:val="center"/>
                </w:tcPr>
                <w:p>
                  <w:pPr>
                    <w:pStyle w:val="41"/>
                    <w:rPr>
                      <w:b/>
                      <w:bCs/>
                      <w:color w:val="auto"/>
                      <w:kern w:val="2"/>
                      <w:lang w:val="en-US" w:eastAsia="zh-CN"/>
                    </w:rPr>
                  </w:pPr>
                  <w:r>
                    <w:rPr>
                      <w:rFonts w:hint="eastAsia"/>
                      <w:b/>
                      <w:bCs/>
                      <w:color w:val="auto"/>
                      <w:kern w:val="2"/>
                      <w:lang w:val="en-US" w:eastAsia="zh-CN"/>
                    </w:rPr>
                    <w:t>理化性质</w:t>
                  </w:r>
                </w:p>
              </w:tc>
              <w:tc>
                <w:tcPr>
                  <w:tcW w:w="1675" w:type="dxa"/>
                  <w:vAlign w:val="center"/>
                </w:tcPr>
                <w:p>
                  <w:pPr>
                    <w:pStyle w:val="41"/>
                    <w:rPr>
                      <w:b/>
                      <w:bCs/>
                      <w:color w:val="auto"/>
                      <w:kern w:val="2"/>
                      <w:lang w:val="en-US" w:eastAsia="zh-CN"/>
                    </w:rPr>
                  </w:pPr>
                  <w:r>
                    <w:rPr>
                      <w:rFonts w:hint="eastAsia"/>
                      <w:b/>
                      <w:bCs/>
                      <w:color w:val="auto"/>
                      <w:kern w:val="2"/>
                      <w:lang w:val="en-US" w:eastAsia="zh-CN"/>
                    </w:rPr>
                    <w:t>燃烧爆炸性</w:t>
                  </w:r>
                </w:p>
              </w:tc>
              <w:tc>
                <w:tcPr>
                  <w:tcW w:w="1956" w:type="dxa"/>
                  <w:vAlign w:val="center"/>
                </w:tcPr>
                <w:p>
                  <w:pPr>
                    <w:pStyle w:val="41"/>
                    <w:rPr>
                      <w:b/>
                      <w:bCs/>
                      <w:color w:val="auto"/>
                      <w:kern w:val="2"/>
                      <w:lang w:val="en-US" w:eastAsia="zh-CN"/>
                    </w:rPr>
                  </w:pPr>
                  <w:r>
                    <w:rPr>
                      <w:rFonts w:hint="eastAsia"/>
                      <w:b/>
                      <w:bCs/>
                      <w:color w:val="auto"/>
                      <w:kern w:val="2"/>
                      <w:lang w:val="en-US" w:eastAsia="zh-CN"/>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硫酸</w:t>
                  </w:r>
                </w:p>
              </w:tc>
              <w:tc>
                <w:tcPr>
                  <w:tcW w:w="975" w:type="dxa"/>
                  <w:vAlign w:val="center"/>
                </w:tcPr>
                <w:p>
                  <w:pPr>
                    <w:pStyle w:val="41"/>
                    <w:rPr>
                      <w:color w:val="auto"/>
                      <w:kern w:val="2"/>
                      <w:lang w:val="en-US" w:eastAsia="zh-CN"/>
                    </w:rPr>
                  </w:pPr>
                  <w:r>
                    <w:rPr>
                      <w:rFonts w:hint="eastAsia"/>
                      <w:color w:val="auto"/>
                      <w:kern w:val="2"/>
                      <w:lang w:val="en-US" w:eastAsia="zh-CN"/>
                    </w:rPr>
                    <w:t>H</w:t>
                  </w:r>
                  <w:r>
                    <w:rPr>
                      <w:rFonts w:hint="eastAsia"/>
                      <w:color w:val="auto"/>
                      <w:kern w:val="2"/>
                      <w:vertAlign w:val="subscript"/>
                      <w:lang w:val="en-US" w:eastAsia="zh-CN"/>
                    </w:rPr>
                    <w:t>2</w:t>
                  </w:r>
                  <w:r>
                    <w:rPr>
                      <w:rFonts w:hint="eastAsia"/>
                      <w:color w:val="auto"/>
                      <w:kern w:val="2"/>
                      <w:lang w:val="en-US" w:eastAsia="zh-CN"/>
                    </w:rPr>
                    <w:t>SO</w:t>
                  </w:r>
                  <w:r>
                    <w:rPr>
                      <w:rFonts w:hint="eastAsia"/>
                      <w:color w:val="auto"/>
                      <w:kern w:val="2"/>
                      <w:vertAlign w:val="subscript"/>
                      <w:lang w:val="en-US" w:eastAsia="zh-CN"/>
                    </w:rPr>
                    <w:t>4</w:t>
                  </w:r>
                </w:p>
              </w:tc>
              <w:tc>
                <w:tcPr>
                  <w:tcW w:w="2974" w:type="dxa"/>
                  <w:vAlign w:val="center"/>
                </w:tcPr>
                <w:p>
                  <w:pPr>
                    <w:pStyle w:val="41"/>
                    <w:ind w:firstLine="420" w:firstLineChars="200"/>
                    <w:jc w:val="both"/>
                    <w:rPr>
                      <w:color w:val="auto"/>
                      <w:kern w:val="2"/>
                      <w:lang w:val="en-US" w:eastAsia="zh-CN"/>
                    </w:rPr>
                  </w:pPr>
                  <w:r>
                    <w:rPr>
                      <w:color w:val="auto"/>
                      <w:kern w:val="2"/>
                      <w:lang w:val="en-US" w:eastAsia="zh-CN"/>
                    </w:rPr>
                    <w:t>透明无色无臭液体，分子量98.078，密度1.8305g/cm</w:t>
                  </w:r>
                  <w:r>
                    <w:rPr>
                      <w:color w:val="auto"/>
                      <w:kern w:val="2"/>
                      <w:vertAlign w:val="superscript"/>
                      <w:lang w:val="en-US" w:eastAsia="zh-CN"/>
                    </w:rPr>
                    <w:t>3</w:t>
                  </w:r>
                  <w:r>
                    <w:rPr>
                      <w:color w:val="auto"/>
                      <w:kern w:val="2"/>
                      <w:lang w:val="en-US" w:eastAsia="zh-CN"/>
                    </w:rPr>
                    <w:t>，熔点10.371℃，沸点337℃，与水任意比互溶</w:t>
                  </w:r>
                </w:p>
              </w:tc>
              <w:tc>
                <w:tcPr>
                  <w:tcW w:w="1675" w:type="dxa"/>
                  <w:vAlign w:val="center"/>
                </w:tcPr>
                <w:p>
                  <w:pPr>
                    <w:pStyle w:val="41"/>
                    <w:rPr>
                      <w:color w:val="auto"/>
                      <w:kern w:val="2"/>
                      <w:lang w:val="en-US" w:eastAsia="zh-CN"/>
                    </w:rPr>
                  </w:pPr>
                  <w:r>
                    <w:rPr>
                      <w:color w:val="auto"/>
                      <w:kern w:val="2"/>
                      <w:lang w:val="en-US" w:eastAsia="zh-CN"/>
                    </w:rPr>
                    <w:t>本品不燃，具强腐蚀性，强刺激性，可致人体灼伤。</w:t>
                  </w:r>
                </w:p>
              </w:tc>
              <w:tc>
                <w:tcPr>
                  <w:tcW w:w="1956" w:type="dxa"/>
                  <w:vAlign w:val="center"/>
                </w:tcPr>
                <w:p>
                  <w:pPr>
                    <w:pStyle w:val="41"/>
                    <w:rPr>
                      <w:color w:val="auto"/>
                      <w:kern w:val="2"/>
                      <w:lang w:val="en-US" w:eastAsia="zh-CN"/>
                    </w:rPr>
                  </w:pPr>
                  <w:r>
                    <w:rPr>
                      <w:color w:val="auto"/>
                      <w:kern w:val="2"/>
                      <w:lang w:val="en-US" w:eastAsia="zh-CN"/>
                    </w:rPr>
                    <w:t>LD</w:t>
                  </w:r>
                  <w:r>
                    <w:rPr>
                      <w:color w:val="auto"/>
                      <w:kern w:val="2"/>
                      <w:vertAlign w:val="subscript"/>
                      <w:lang w:val="en-US" w:eastAsia="zh-CN"/>
                    </w:rPr>
                    <w:t>50</w:t>
                  </w:r>
                  <w:r>
                    <w:rPr>
                      <w:rFonts w:hint="eastAsia"/>
                      <w:color w:val="auto"/>
                      <w:kern w:val="2"/>
                      <w:lang w:val="en-US" w:eastAsia="zh-CN"/>
                    </w:rPr>
                    <w:t>：</w:t>
                  </w:r>
                  <w:r>
                    <w:rPr>
                      <w:color w:val="auto"/>
                      <w:kern w:val="2"/>
                      <w:lang w:val="en-US" w:eastAsia="zh-CN"/>
                    </w:rPr>
                    <w:t>2140mg/kg（大鼠经口）LC</w:t>
                  </w:r>
                  <w:r>
                    <w:rPr>
                      <w:color w:val="auto"/>
                      <w:kern w:val="2"/>
                      <w:vertAlign w:val="subscript"/>
                      <w:lang w:val="en-US" w:eastAsia="zh-CN"/>
                    </w:rPr>
                    <w:t>50</w:t>
                  </w:r>
                  <w:r>
                    <w:rPr>
                      <w:rFonts w:hint="eastAsia"/>
                      <w:color w:val="auto"/>
                      <w:kern w:val="2"/>
                      <w:lang w:val="en-US" w:eastAsia="zh-CN"/>
                    </w:rPr>
                    <w:t>：</w:t>
                  </w:r>
                  <w:r>
                    <w:rPr>
                      <w:color w:val="auto"/>
                      <w:kern w:val="2"/>
                      <w:lang w:val="en-US" w:eastAsia="zh-CN"/>
                    </w:rPr>
                    <w:t>510mg/m</w:t>
                  </w:r>
                  <w:r>
                    <w:rPr>
                      <w:color w:val="auto"/>
                      <w:kern w:val="2"/>
                      <w:vertAlign w:val="superscript"/>
                      <w:lang w:val="en-US" w:eastAsia="zh-CN"/>
                    </w:rPr>
                    <w:t>3</w:t>
                  </w:r>
                  <w:r>
                    <w:rPr>
                      <w:rFonts w:hint="eastAsia"/>
                      <w:color w:val="auto"/>
                      <w:kern w:val="2"/>
                      <w:lang w:val="en-US" w:eastAsia="zh-CN"/>
                    </w:rPr>
                    <w:t>，2小时（大鼠吸入）；320mg/m</w:t>
                  </w:r>
                  <w:r>
                    <w:rPr>
                      <w:rFonts w:hint="eastAsia"/>
                      <w:color w:val="auto"/>
                      <w:kern w:val="2"/>
                      <w:vertAlign w:val="superscript"/>
                      <w:lang w:val="en-US" w:eastAsia="zh-CN"/>
                    </w:rPr>
                    <w:t>3</w:t>
                  </w:r>
                  <w:r>
                    <w:rPr>
                      <w:rFonts w:hint="eastAsia"/>
                      <w:color w:val="auto"/>
                      <w:kern w:val="2"/>
                      <w:lang w:val="en-US" w:eastAsia="zh-CN"/>
                    </w:rPr>
                    <w:t>，2小时（小鼠吸入）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盐酸</w:t>
                  </w:r>
                </w:p>
              </w:tc>
              <w:tc>
                <w:tcPr>
                  <w:tcW w:w="975" w:type="dxa"/>
                  <w:vAlign w:val="center"/>
                </w:tcPr>
                <w:p>
                  <w:pPr>
                    <w:pStyle w:val="41"/>
                    <w:rPr>
                      <w:color w:val="auto"/>
                      <w:kern w:val="2"/>
                      <w:lang w:val="en-US" w:eastAsia="zh-CN"/>
                    </w:rPr>
                  </w:pPr>
                  <w:r>
                    <w:rPr>
                      <w:rFonts w:hint="eastAsia"/>
                      <w:color w:val="auto"/>
                      <w:kern w:val="2"/>
                      <w:lang w:val="en-US" w:eastAsia="zh-CN"/>
                    </w:rPr>
                    <w:t>HCl</w:t>
                  </w:r>
                </w:p>
              </w:tc>
              <w:tc>
                <w:tcPr>
                  <w:tcW w:w="2974" w:type="dxa"/>
                  <w:vAlign w:val="center"/>
                </w:tcPr>
                <w:p>
                  <w:pPr>
                    <w:pStyle w:val="41"/>
                    <w:ind w:firstLine="420" w:firstLineChars="200"/>
                    <w:jc w:val="both"/>
                    <w:rPr>
                      <w:color w:val="auto"/>
                      <w:kern w:val="2"/>
                      <w:lang w:val="en-US" w:eastAsia="zh-CN"/>
                    </w:rPr>
                  </w:pPr>
                  <w:r>
                    <w:rPr>
                      <w:rFonts w:hint="eastAsia"/>
                      <w:color w:val="auto"/>
                      <w:kern w:val="2"/>
                      <w:lang w:val="en-US" w:eastAsia="zh-CN"/>
                    </w:rPr>
                    <w:t>无色或微黄色发烟液体，有刺鼻的酸味，熔点（</w:t>
                  </w:r>
                  <w:r>
                    <w:rPr>
                      <w:color w:val="auto"/>
                      <w:kern w:val="2"/>
                      <w:lang w:val="en-US" w:eastAsia="zh-CN"/>
                    </w:rPr>
                    <w:t>℃</w:t>
                  </w:r>
                  <w:r>
                    <w:rPr>
                      <w:rFonts w:hint="eastAsia"/>
                      <w:color w:val="auto"/>
                      <w:kern w:val="2"/>
                      <w:lang w:val="en-US" w:eastAsia="zh-CN"/>
                    </w:rPr>
                    <w:t>）：-114.8（纯),沸点（</w:t>
                  </w:r>
                  <w:r>
                    <w:rPr>
                      <w:color w:val="auto"/>
                      <w:kern w:val="2"/>
                      <w:lang w:val="en-US" w:eastAsia="zh-CN"/>
                    </w:rPr>
                    <w:t>℃</w:t>
                  </w:r>
                  <w:r>
                    <w:rPr>
                      <w:rFonts w:hint="eastAsia"/>
                      <w:color w:val="auto"/>
                      <w:kern w:val="2"/>
                      <w:lang w:val="en-US" w:eastAsia="zh-CN"/>
                    </w:rPr>
                    <w:t>）：108.6（20%），相对密度（水=1）：1.20，相对蒸汽密度（空气=1）：1.26，与水混溶，溶于碱液</w:t>
                  </w:r>
                </w:p>
              </w:tc>
              <w:tc>
                <w:tcPr>
                  <w:tcW w:w="1675" w:type="dxa"/>
                  <w:vAlign w:val="center"/>
                </w:tcPr>
                <w:p>
                  <w:pPr>
                    <w:pStyle w:val="41"/>
                    <w:rPr>
                      <w:color w:val="auto"/>
                      <w:kern w:val="2"/>
                      <w:lang w:val="en-US" w:eastAsia="zh-CN"/>
                    </w:rPr>
                  </w:pPr>
                  <w:r>
                    <w:rPr>
                      <w:rFonts w:hint="eastAsia"/>
                      <w:color w:val="auto"/>
                      <w:kern w:val="2"/>
                      <w:lang w:val="en-US" w:eastAsia="zh-CN"/>
                    </w:rPr>
                    <w:t>本品不燃，具强腐蚀性，</w:t>
                  </w:r>
                  <w:r>
                    <w:rPr>
                      <w:color w:val="auto"/>
                      <w:kern w:val="2"/>
                      <w:lang w:val="en-US" w:eastAsia="zh-CN"/>
                    </w:rPr>
                    <w:t>强刺激性，可致人体灼伤。</w:t>
                  </w:r>
                </w:p>
              </w:tc>
              <w:tc>
                <w:tcPr>
                  <w:tcW w:w="1956" w:type="dxa"/>
                  <w:vAlign w:val="center"/>
                </w:tcPr>
                <w:p>
                  <w:pPr>
                    <w:pStyle w:val="41"/>
                    <w:rPr>
                      <w:color w:val="auto"/>
                      <w:kern w:val="2"/>
                      <w:lang w:val="en-US" w:eastAsia="zh-CN"/>
                    </w:rPr>
                  </w:pPr>
                  <w:r>
                    <w:rPr>
                      <w:rFonts w:hint="eastAsia"/>
                      <w:color w:val="auto"/>
                      <w:kern w:val="2"/>
                      <w:lang w:val="en-US" w:eastAsia="zh-CN"/>
                    </w:rPr>
                    <w:t>LD</w:t>
                  </w:r>
                  <w:r>
                    <w:rPr>
                      <w:rFonts w:hint="eastAsia"/>
                      <w:color w:val="auto"/>
                      <w:kern w:val="2"/>
                      <w:vertAlign w:val="subscript"/>
                      <w:lang w:val="en-US" w:eastAsia="zh-CN"/>
                    </w:rPr>
                    <w:t>50</w:t>
                  </w:r>
                  <w:r>
                    <w:rPr>
                      <w:rFonts w:hint="eastAsia"/>
                      <w:color w:val="auto"/>
                      <w:kern w:val="2"/>
                      <w:lang w:val="en-US" w:eastAsia="zh-CN"/>
                    </w:rPr>
                    <w:t xml:space="preserve">：900mg/kg（兔经口）；LC </w:t>
                  </w:r>
                  <w:r>
                    <w:rPr>
                      <w:rFonts w:hint="eastAsia"/>
                      <w:color w:val="auto"/>
                      <w:kern w:val="2"/>
                      <w:vertAlign w:val="subscript"/>
                      <w:lang w:val="en-US" w:eastAsia="zh-CN"/>
                    </w:rPr>
                    <w:t>50</w:t>
                  </w:r>
                  <w:r>
                    <w:rPr>
                      <w:rFonts w:hint="eastAsia"/>
                      <w:color w:val="auto"/>
                      <w:kern w:val="2"/>
                      <w:lang w:val="en-US" w:eastAsia="zh-CN"/>
                    </w:rPr>
                    <w:t>：4600mg/m</w:t>
                  </w:r>
                  <w:r>
                    <w:rPr>
                      <w:rFonts w:hint="eastAsia"/>
                      <w:color w:val="auto"/>
                      <w:kern w:val="2"/>
                      <w:vertAlign w:val="superscript"/>
                      <w:lang w:val="en-US" w:eastAsia="zh-CN"/>
                    </w:rPr>
                    <w:t>3</w:t>
                  </w:r>
                  <w:r>
                    <w:rPr>
                      <w:rFonts w:hint="eastAsia"/>
                      <w:color w:val="auto"/>
                      <w:kern w:val="2"/>
                      <w:lang w:val="en-US" w:eastAsia="zh-CN"/>
                    </w:rPr>
                    <w:t>，1小时（大鼠吸入）嗅阈值：0.39-0.45mg/m</w:t>
                  </w:r>
                  <w:r>
                    <w:rPr>
                      <w:rFonts w:hint="eastAsia"/>
                      <w:color w:val="auto"/>
                      <w:kern w:val="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氢氧化钠</w:t>
                  </w:r>
                </w:p>
              </w:tc>
              <w:tc>
                <w:tcPr>
                  <w:tcW w:w="975" w:type="dxa"/>
                  <w:vAlign w:val="center"/>
                </w:tcPr>
                <w:p>
                  <w:pPr>
                    <w:pStyle w:val="41"/>
                    <w:rPr>
                      <w:color w:val="auto"/>
                      <w:kern w:val="2"/>
                      <w:lang w:val="en-US" w:eastAsia="zh-CN"/>
                    </w:rPr>
                  </w:pPr>
                  <w:r>
                    <w:rPr>
                      <w:rFonts w:hint="eastAsia"/>
                      <w:color w:val="auto"/>
                      <w:kern w:val="2"/>
                      <w:lang w:val="en-US" w:eastAsia="zh-CN"/>
                    </w:rPr>
                    <w:t>NaOH</w:t>
                  </w:r>
                </w:p>
              </w:tc>
              <w:tc>
                <w:tcPr>
                  <w:tcW w:w="2974" w:type="dxa"/>
                  <w:vAlign w:val="center"/>
                </w:tcPr>
                <w:p>
                  <w:pPr>
                    <w:pStyle w:val="41"/>
                    <w:ind w:firstLine="420" w:firstLineChars="200"/>
                    <w:jc w:val="both"/>
                    <w:rPr>
                      <w:color w:val="auto"/>
                      <w:kern w:val="2"/>
                      <w:lang w:val="en-US" w:eastAsia="zh-CN"/>
                    </w:rPr>
                  </w:pPr>
                  <w:r>
                    <w:rPr>
                      <w:rFonts w:hint="eastAsia"/>
                      <w:color w:val="auto"/>
                      <w:kern w:val="2"/>
                      <w:lang w:val="en-US" w:eastAsia="zh-CN"/>
                    </w:rPr>
                    <w:t>白色不透明固体，易潮解，熔点（</w:t>
                  </w:r>
                  <w:r>
                    <w:rPr>
                      <w:color w:val="auto"/>
                      <w:kern w:val="2"/>
                      <w:lang w:val="en-US" w:eastAsia="zh-CN"/>
                    </w:rPr>
                    <w:t>℃</w:t>
                  </w:r>
                  <w:r>
                    <w:rPr>
                      <w:rFonts w:hint="eastAsia"/>
                      <w:color w:val="auto"/>
                      <w:kern w:val="2"/>
                      <w:lang w:val="en-US" w:eastAsia="zh-CN"/>
                    </w:rPr>
                    <w:t>）：318.4，沸点（</w:t>
                  </w:r>
                  <w:r>
                    <w:rPr>
                      <w:color w:val="auto"/>
                      <w:kern w:val="2"/>
                      <w:lang w:val="en-US" w:eastAsia="zh-CN"/>
                    </w:rPr>
                    <w:t>℃</w:t>
                  </w:r>
                  <w:r>
                    <w:rPr>
                      <w:rFonts w:hint="eastAsia"/>
                      <w:color w:val="auto"/>
                      <w:kern w:val="2"/>
                      <w:lang w:val="en-US" w:eastAsia="zh-CN"/>
                    </w:rPr>
                    <w:t>）：1390，相对密度（水=1）：2.12，饱和蒸汽压（kPa）：0.13（739</w:t>
                  </w:r>
                  <w:r>
                    <w:rPr>
                      <w:color w:val="auto"/>
                      <w:kern w:val="2"/>
                      <w:lang w:val="en-US" w:eastAsia="zh-CN"/>
                    </w:rPr>
                    <w:t>℃</w:t>
                  </w:r>
                  <w:r>
                    <w:rPr>
                      <w:rFonts w:hint="eastAsia"/>
                      <w:color w:val="auto"/>
                      <w:kern w:val="2"/>
                      <w:lang w:val="en-US" w:eastAsia="zh-CN"/>
                    </w:rPr>
                    <w:t>），易溶于水、乙醇、甘油，不溶于丙酮。</w:t>
                  </w:r>
                </w:p>
              </w:tc>
              <w:tc>
                <w:tcPr>
                  <w:tcW w:w="1675" w:type="dxa"/>
                  <w:vAlign w:val="center"/>
                </w:tcPr>
                <w:p>
                  <w:pPr>
                    <w:pStyle w:val="41"/>
                    <w:rPr>
                      <w:color w:val="auto"/>
                      <w:kern w:val="2"/>
                      <w:lang w:val="en-US" w:eastAsia="zh-CN"/>
                    </w:rPr>
                  </w:pPr>
                  <w:r>
                    <w:rPr>
                      <w:rFonts w:hint="eastAsia"/>
                      <w:color w:val="auto"/>
                      <w:kern w:val="2"/>
                      <w:lang w:val="en-US" w:eastAsia="zh-CN"/>
                    </w:rPr>
                    <w:t>不燃</w:t>
                  </w:r>
                </w:p>
              </w:tc>
              <w:tc>
                <w:tcPr>
                  <w:tcW w:w="1956" w:type="dxa"/>
                  <w:vAlign w:val="center"/>
                </w:tcPr>
                <w:p>
                  <w:pPr>
                    <w:pStyle w:val="41"/>
                    <w:rPr>
                      <w:color w:val="auto"/>
                      <w:kern w:val="2"/>
                      <w:lang w:val="en-US" w:eastAsia="zh-CN"/>
                    </w:rPr>
                  </w:pPr>
                  <w:r>
                    <w:rPr>
                      <w:rFonts w:hint="eastAsia"/>
                      <w:color w:val="auto"/>
                      <w:kern w:val="2"/>
                      <w:lang w:val="en-US" w:eastAsia="zh-CN"/>
                    </w:rPr>
                    <w:t>LD</w:t>
                  </w:r>
                  <w:r>
                    <w:rPr>
                      <w:rFonts w:hint="eastAsia"/>
                      <w:color w:val="auto"/>
                      <w:kern w:val="2"/>
                      <w:vertAlign w:val="subscript"/>
                      <w:lang w:val="en-US" w:eastAsia="zh-CN"/>
                    </w:rPr>
                    <w:t>50</w:t>
                  </w:r>
                  <w:r>
                    <w:rPr>
                      <w:rFonts w:hint="eastAsia"/>
                      <w:color w:val="auto"/>
                      <w:kern w:val="2"/>
                      <w:lang w:val="en-US" w:eastAsia="zh-CN"/>
                    </w:rPr>
                    <w:t>：40mg/kg（小鼠腹膜腔）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乙醇</w:t>
                  </w:r>
                </w:p>
              </w:tc>
              <w:tc>
                <w:tcPr>
                  <w:tcW w:w="975" w:type="dxa"/>
                  <w:vAlign w:val="center"/>
                </w:tcPr>
                <w:p>
                  <w:pPr>
                    <w:pStyle w:val="41"/>
                    <w:rPr>
                      <w:color w:val="auto"/>
                      <w:kern w:val="2"/>
                      <w:lang w:val="en-US" w:eastAsia="zh-CN"/>
                    </w:rPr>
                  </w:pPr>
                  <w:r>
                    <w:rPr>
                      <w:rFonts w:hint="eastAsia"/>
                      <w:color w:val="auto"/>
                      <w:kern w:val="2"/>
                      <w:lang w:val="en-US" w:eastAsia="zh-CN"/>
                    </w:rPr>
                    <w:t>CH</w:t>
                  </w:r>
                  <w:r>
                    <w:rPr>
                      <w:rFonts w:hint="eastAsia"/>
                      <w:color w:val="auto"/>
                      <w:kern w:val="2"/>
                      <w:vertAlign w:val="subscript"/>
                      <w:lang w:val="en-US" w:eastAsia="zh-CN"/>
                    </w:rPr>
                    <w:t>3</w:t>
                  </w:r>
                  <w:r>
                    <w:rPr>
                      <w:rFonts w:hint="eastAsia"/>
                      <w:color w:val="auto"/>
                      <w:kern w:val="2"/>
                      <w:lang w:val="en-US" w:eastAsia="zh-CN"/>
                    </w:rPr>
                    <w:t>CH</w:t>
                  </w:r>
                  <w:r>
                    <w:rPr>
                      <w:rFonts w:hint="eastAsia"/>
                      <w:color w:val="auto"/>
                      <w:kern w:val="2"/>
                      <w:vertAlign w:val="subscript"/>
                      <w:lang w:val="en-US" w:eastAsia="zh-CN"/>
                    </w:rPr>
                    <w:t>2</w:t>
                  </w:r>
                  <w:r>
                    <w:rPr>
                      <w:rFonts w:hint="eastAsia"/>
                      <w:color w:val="auto"/>
                      <w:kern w:val="2"/>
                      <w:lang w:val="en-US" w:eastAsia="zh-CN"/>
                    </w:rPr>
                    <w:t>OH</w:t>
                  </w:r>
                </w:p>
              </w:tc>
              <w:tc>
                <w:tcPr>
                  <w:tcW w:w="2974" w:type="dxa"/>
                  <w:vAlign w:val="center"/>
                </w:tcPr>
                <w:p>
                  <w:pPr>
                    <w:pStyle w:val="41"/>
                    <w:ind w:firstLine="420" w:firstLineChars="200"/>
                    <w:jc w:val="both"/>
                    <w:rPr>
                      <w:color w:val="auto"/>
                      <w:kern w:val="2"/>
                      <w:lang w:val="en-US" w:eastAsia="zh-CN"/>
                    </w:rPr>
                  </w:pPr>
                  <w:r>
                    <w:rPr>
                      <w:rFonts w:hint="eastAsia"/>
                      <w:color w:val="auto"/>
                      <w:kern w:val="2"/>
                      <w:lang w:val="en-US" w:eastAsia="zh-CN"/>
                    </w:rPr>
                    <w:t>无色液体，有酒香，熔点：-114.1</w:t>
                  </w:r>
                  <w:r>
                    <w:rPr>
                      <w:color w:val="auto"/>
                      <w:kern w:val="2"/>
                      <w:lang w:val="en-US" w:eastAsia="zh-CN"/>
                    </w:rPr>
                    <w:t>℃</w:t>
                  </w:r>
                  <w:r>
                    <w:rPr>
                      <w:rFonts w:hint="eastAsia"/>
                      <w:color w:val="auto"/>
                      <w:kern w:val="2"/>
                      <w:lang w:val="en-US" w:eastAsia="zh-CN"/>
                    </w:rPr>
                    <w:t>，沸点:78.3</w:t>
                  </w:r>
                  <w:r>
                    <w:rPr>
                      <w:color w:val="auto"/>
                      <w:kern w:val="2"/>
                      <w:lang w:val="en-US" w:eastAsia="zh-CN"/>
                    </w:rPr>
                    <w:t>℃</w:t>
                  </w:r>
                  <w:r>
                    <w:rPr>
                      <w:rFonts w:hint="eastAsia"/>
                      <w:color w:val="auto"/>
                      <w:kern w:val="2"/>
                      <w:lang w:val="en-US" w:eastAsia="zh-CN"/>
                    </w:rPr>
                    <w:t>,与水混溶，可混溶于醚、氯仿、甘油等多数溶媒溶剂。</w:t>
                  </w:r>
                </w:p>
              </w:tc>
              <w:tc>
                <w:tcPr>
                  <w:tcW w:w="1675" w:type="dxa"/>
                  <w:vAlign w:val="center"/>
                </w:tcPr>
                <w:p>
                  <w:pPr>
                    <w:pStyle w:val="41"/>
                    <w:rPr>
                      <w:color w:val="auto"/>
                      <w:kern w:val="2"/>
                      <w:lang w:val="en-US" w:eastAsia="zh-CN"/>
                    </w:rPr>
                  </w:pPr>
                  <w:r>
                    <w:rPr>
                      <w:rFonts w:hint="eastAsia"/>
                      <w:color w:val="auto"/>
                      <w:kern w:val="2"/>
                      <w:lang w:val="en-US" w:eastAsia="zh-CN"/>
                    </w:rPr>
                    <w:t>易燃</w:t>
                  </w:r>
                </w:p>
              </w:tc>
              <w:tc>
                <w:tcPr>
                  <w:tcW w:w="1956" w:type="dxa"/>
                  <w:vAlign w:val="center"/>
                </w:tcPr>
                <w:p>
                  <w:pPr>
                    <w:pStyle w:val="41"/>
                    <w:rPr>
                      <w:color w:val="auto"/>
                      <w:kern w:val="2"/>
                      <w:lang w:val="en-US" w:eastAsia="zh-CN"/>
                    </w:rPr>
                  </w:pPr>
                  <w:r>
                    <w:rPr>
                      <w:rFonts w:hint="eastAsia"/>
                      <w:color w:val="auto"/>
                      <w:kern w:val="2"/>
                      <w:lang w:val="en-US" w:eastAsia="zh-CN"/>
                    </w:rPr>
                    <w:t xml:space="preserve">LD </w:t>
                  </w:r>
                  <w:r>
                    <w:rPr>
                      <w:rFonts w:hint="eastAsia"/>
                      <w:color w:val="auto"/>
                      <w:kern w:val="2"/>
                      <w:vertAlign w:val="subscript"/>
                      <w:lang w:val="en-US" w:eastAsia="zh-CN"/>
                    </w:rPr>
                    <w:t>50</w:t>
                  </w:r>
                  <w:r>
                    <w:rPr>
                      <w:rFonts w:hint="eastAsia"/>
                      <w:color w:val="auto"/>
                      <w:kern w:val="2"/>
                      <w:lang w:val="en-US" w:eastAsia="zh-CN"/>
                    </w:rPr>
                    <w:t xml:space="preserve">：7060mg/kg（兔经口）；LC </w:t>
                  </w:r>
                  <w:r>
                    <w:rPr>
                      <w:rFonts w:hint="eastAsia"/>
                      <w:color w:val="auto"/>
                      <w:kern w:val="2"/>
                      <w:vertAlign w:val="subscript"/>
                      <w:lang w:val="en-US" w:eastAsia="zh-CN"/>
                    </w:rPr>
                    <w:t>50</w:t>
                  </w:r>
                  <w:r>
                    <w:rPr>
                      <w:rFonts w:hint="eastAsia"/>
                      <w:color w:val="auto"/>
                      <w:kern w:val="2"/>
                      <w:lang w:val="en-US" w:eastAsia="zh-CN"/>
                    </w:rPr>
                    <w:t>：37620mg/m</w:t>
                  </w:r>
                  <w:r>
                    <w:rPr>
                      <w:rFonts w:hint="eastAsia"/>
                      <w:color w:val="auto"/>
                      <w:kern w:val="2"/>
                      <w:vertAlign w:val="superscript"/>
                      <w:lang w:val="en-US" w:eastAsia="zh-CN"/>
                    </w:rPr>
                    <w:t>3</w:t>
                  </w:r>
                  <w:r>
                    <w:rPr>
                      <w:rFonts w:hint="eastAsia"/>
                      <w:color w:val="auto"/>
                      <w:kern w:val="2"/>
                      <w:lang w:val="en-US" w:eastAsia="zh-CN"/>
                    </w:rPr>
                    <w:t>，10小时（大鼠吸入）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过氧化氢</w:t>
                  </w:r>
                </w:p>
              </w:tc>
              <w:tc>
                <w:tcPr>
                  <w:tcW w:w="975" w:type="dxa"/>
                  <w:vAlign w:val="center"/>
                </w:tcPr>
                <w:p>
                  <w:pPr>
                    <w:pStyle w:val="41"/>
                    <w:rPr>
                      <w:color w:val="auto"/>
                      <w:kern w:val="2"/>
                      <w:vertAlign w:val="subscript"/>
                      <w:lang w:val="en-US" w:eastAsia="zh-CN"/>
                    </w:rPr>
                  </w:pPr>
                  <w:r>
                    <w:rPr>
                      <w:rFonts w:hint="eastAsia"/>
                      <w:color w:val="auto"/>
                      <w:kern w:val="2"/>
                      <w:lang w:val="en-US" w:eastAsia="zh-CN"/>
                    </w:rPr>
                    <w:t>H</w:t>
                  </w:r>
                  <w:r>
                    <w:rPr>
                      <w:rFonts w:hint="eastAsia"/>
                      <w:color w:val="auto"/>
                      <w:kern w:val="2"/>
                      <w:vertAlign w:val="subscript"/>
                      <w:lang w:val="en-US" w:eastAsia="zh-CN"/>
                    </w:rPr>
                    <w:t>2</w:t>
                  </w:r>
                  <w:r>
                    <w:rPr>
                      <w:rFonts w:hint="eastAsia"/>
                      <w:color w:val="auto"/>
                      <w:kern w:val="2"/>
                      <w:lang w:val="en-US" w:eastAsia="zh-CN"/>
                    </w:rPr>
                    <w:t>O</w:t>
                  </w:r>
                  <w:r>
                    <w:rPr>
                      <w:rFonts w:hint="eastAsia"/>
                      <w:color w:val="auto"/>
                      <w:kern w:val="2"/>
                      <w:vertAlign w:val="subscript"/>
                      <w:lang w:val="en-US" w:eastAsia="zh-CN"/>
                    </w:rPr>
                    <w:t>2</w:t>
                  </w:r>
                </w:p>
              </w:tc>
              <w:tc>
                <w:tcPr>
                  <w:tcW w:w="2974" w:type="dxa"/>
                  <w:vAlign w:val="center"/>
                </w:tcPr>
                <w:p>
                  <w:pPr>
                    <w:pStyle w:val="41"/>
                    <w:ind w:firstLine="420" w:firstLineChars="200"/>
                    <w:jc w:val="both"/>
                    <w:rPr>
                      <w:color w:val="auto"/>
                      <w:kern w:val="2"/>
                      <w:lang w:val="en-US" w:eastAsia="zh-CN"/>
                    </w:rPr>
                  </w:pPr>
                  <w:r>
                    <w:rPr>
                      <w:rFonts w:hint="eastAsia"/>
                      <w:color w:val="auto"/>
                      <w:kern w:val="2"/>
                      <w:lang w:val="en-US" w:eastAsia="zh-CN"/>
                    </w:rPr>
                    <w:t>蓝色黏稠状液体,水溶液为无色透明液体熔点：-0.43℃，沸点150.2℃，与水混溶，密度1.13g/mL（20℃）。</w:t>
                  </w:r>
                  <w:r>
                    <w:rPr>
                      <w:color w:val="auto"/>
                      <w:kern w:val="2"/>
                      <w:szCs w:val="21"/>
                      <w:shd w:val="clear" w:color="auto" w:fill="FFFFFF"/>
                      <w:lang w:val="en-US" w:eastAsia="zh-CN"/>
                    </w:rPr>
                    <w:t>溶于水、醇、</w:t>
                  </w:r>
                  <w:r>
                    <w:rPr>
                      <w:color w:val="auto"/>
                    </w:rPr>
                    <w:fldChar w:fldCharType="begin"/>
                  </w:r>
                  <w:r>
                    <w:rPr>
                      <w:color w:val="auto"/>
                    </w:rPr>
                    <w:instrText xml:space="preserve"> HYPERLINK "https://baike.baidu.com/item/%E4%B9%99%E9%86%9A" \t "https://baike.baidu.com/item/%E8%BF%87%E6%B0%A7%E5%8C%96%E6%B0%A2/_blank" </w:instrText>
                  </w:r>
                  <w:r>
                    <w:rPr>
                      <w:color w:val="auto"/>
                    </w:rPr>
                    <w:fldChar w:fldCharType="separate"/>
                  </w:r>
                  <w:r>
                    <w:rPr>
                      <w:rStyle w:val="26"/>
                      <w:color w:val="auto"/>
                      <w:kern w:val="2"/>
                      <w:szCs w:val="21"/>
                      <w:u w:val="none"/>
                      <w:shd w:val="clear" w:color="auto" w:fill="FFFFFF"/>
                      <w:lang w:val="en-US" w:eastAsia="zh-CN"/>
                    </w:rPr>
                    <w:t>乙醚</w:t>
                  </w:r>
                  <w:r>
                    <w:rPr>
                      <w:rStyle w:val="26"/>
                      <w:color w:val="auto"/>
                      <w:kern w:val="2"/>
                      <w:szCs w:val="21"/>
                      <w:u w:val="none"/>
                      <w:shd w:val="clear" w:color="auto" w:fill="FFFFFF"/>
                      <w:lang w:val="en-US" w:eastAsia="zh-CN"/>
                    </w:rPr>
                    <w:fldChar w:fldCharType="end"/>
                  </w:r>
                  <w:r>
                    <w:rPr>
                      <w:color w:val="auto"/>
                      <w:kern w:val="2"/>
                      <w:szCs w:val="21"/>
                      <w:shd w:val="clear" w:color="auto" w:fill="FFFFFF"/>
                      <w:lang w:val="en-US" w:eastAsia="zh-CN"/>
                    </w:rPr>
                    <w:t>，不溶于</w:t>
                  </w:r>
                  <w:r>
                    <w:rPr>
                      <w:color w:val="auto"/>
                    </w:rPr>
                    <w:fldChar w:fldCharType="begin"/>
                  </w:r>
                  <w:r>
                    <w:rPr>
                      <w:color w:val="auto"/>
                    </w:rPr>
                    <w:instrText xml:space="preserve"> HYPERLINK "https://baike.baidu.com/item/%E8%8B%AF" \t "https://baike.baidu.com/item/%E8%BF%87%E6%B0%A7%E5%8C%96%E6%B0%A2/_blank" </w:instrText>
                  </w:r>
                  <w:r>
                    <w:rPr>
                      <w:color w:val="auto"/>
                    </w:rPr>
                    <w:fldChar w:fldCharType="separate"/>
                  </w:r>
                  <w:r>
                    <w:rPr>
                      <w:rStyle w:val="26"/>
                      <w:color w:val="auto"/>
                      <w:kern w:val="2"/>
                      <w:szCs w:val="21"/>
                      <w:u w:val="none"/>
                      <w:shd w:val="clear" w:color="auto" w:fill="FFFFFF"/>
                      <w:lang w:val="en-US" w:eastAsia="zh-CN"/>
                    </w:rPr>
                    <w:t>苯</w:t>
                  </w:r>
                  <w:r>
                    <w:rPr>
                      <w:rStyle w:val="26"/>
                      <w:color w:val="auto"/>
                      <w:kern w:val="2"/>
                      <w:szCs w:val="21"/>
                      <w:u w:val="none"/>
                      <w:shd w:val="clear" w:color="auto" w:fill="FFFFFF"/>
                      <w:lang w:val="en-US" w:eastAsia="zh-CN"/>
                    </w:rPr>
                    <w:fldChar w:fldCharType="end"/>
                  </w:r>
                  <w:r>
                    <w:rPr>
                      <w:color w:val="auto"/>
                      <w:kern w:val="2"/>
                      <w:szCs w:val="21"/>
                      <w:shd w:val="clear" w:color="auto" w:fill="FFFFFF"/>
                      <w:lang w:val="en-US" w:eastAsia="zh-CN"/>
                    </w:rPr>
                    <w:t>、</w:t>
                  </w:r>
                  <w:r>
                    <w:rPr>
                      <w:color w:val="auto"/>
                    </w:rPr>
                    <w:fldChar w:fldCharType="begin"/>
                  </w:r>
                  <w:r>
                    <w:rPr>
                      <w:color w:val="auto"/>
                    </w:rPr>
                    <w:instrText xml:space="preserve"> HYPERLINK "https://baike.baidu.com/item/%E7%9F%B3%E6%B2%B9%E9%86%9A" \t "https://baike.baidu.com/item/%E8%BF%87%E6%B0%A7%E5%8C%96%E6%B0%A2/_blank" </w:instrText>
                  </w:r>
                  <w:r>
                    <w:rPr>
                      <w:color w:val="auto"/>
                    </w:rPr>
                    <w:fldChar w:fldCharType="separate"/>
                  </w:r>
                  <w:r>
                    <w:rPr>
                      <w:rStyle w:val="26"/>
                      <w:color w:val="auto"/>
                      <w:kern w:val="2"/>
                      <w:szCs w:val="21"/>
                      <w:u w:val="none"/>
                      <w:shd w:val="clear" w:color="auto" w:fill="FFFFFF"/>
                      <w:lang w:val="en-US" w:eastAsia="zh-CN"/>
                    </w:rPr>
                    <w:t>石油醚</w:t>
                  </w:r>
                  <w:r>
                    <w:rPr>
                      <w:rStyle w:val="26"/>
                      <w:color w:val="auto"/>
                      <w:kern w:val="2"/>
                      <w:szCs w:val="21"/>
                      <w:u w:val="none"/>
                      <w:shd w:val="clear" w:color="auto" w:fill="FFFFFF"/>
                      <w:lang w:val="en-US" w:eastAsia="zh-CN"/>
                    </w:rPr>
                    <w:fldChar w:fldCharType="end"/>
                  </w:r>
                </w:p>
              </w:tc>
              <w:tc>
                <w:tcPr>
                  <w:tcW w:w="1675" w:type="dxa"/>
                  <w:vAlign w:val="center"/>
                </w:tcPr>
                <w:p>
                  <w:pPr>
                    <w:pStyle w:val="41"/>
                    <w:rPr>
                      <w:color w:val="auto"/>
                      <w:kern w:val="2"/>
                      <w:lang w:val="en-US" w:eastAsia="zh-CN"/>
                    </w:rPr>
                  </w:pPr>
                  <w:r>
                    <w:rPr>
                      <w:rFonts w:hint="eastAsia"/>
                      <w:color w:val="auto"/>
                      <w:kern w:val="2"/>
                      <w:lang w:val="en-US" w:eastAsia="zh-CN"/>
                    </w:rPr>
                    <w:t>不燃，遇有机物、受热分解放出氧气；遇铬酸、高锰酸钾、金属粉末反应剧烈</w:t>
                  </w:r>
                </w:p>
              </w:tc>
              <w:tc>
                <w:tcPr>
                  <w:tcW w:w="1956" w:type="dxa"/>
                  <w:vAlign w:val="center"/>
                </w:tcPr>
                <w:p>
                  <w:pPr>
                    <w:pStyle w:val="41"/>
                    <w:rPr>
                      <w:color w:val="auto"/>
                      <w:kern w:val="2"/>
                      <w:lang w:val="en-US" w:eastAsia="zh-CN"/>
                    </w:rPr>
                  </w:pPr>
                  <w:r>
                    <w:rPr>
                      <w:rFonts w:hint="eastAsia"/>
                      <w:color w:val="auto"/>
                      <w:kern w:val="2"/>
                      <w:lang w:val="en-US" w:eastAsia="zh-CN"/>
                    </w:rPr>
                    <w:t>LC</w:t>
                  </w:r>
                  <w:r>
                    <w:rPr>
                      <w:rFonts w:hint="eastAsia"/>
                      <w:color w:val="auto"/>
                      <w:kern w:val="2"/>
                      <w:vertAlign w:val="subscript"/>
                      <w:lang w:val="en-US" w:eastAsia="zh-CN"/>
                    </w:rPr>
                    <w:t>50</w:t>
                  </w:r>
                  <w:r>
                    <w:rPr>
                      <w:rFonts w:hint="eastAsia"/>
                      <w:color w:val="auto"/>
                      <w:kern w:val="2"/>
                      <w:lang w:val="en-US" w:eastAsia="zh-CN"/>
                    </w:rPr>
                    <w:t>:2000毫克/立方米/4小时（大鼠吸入）；LD</w:t>
                  </w:r>
                  <w:r>
                    <w:rPr>
                      <w:rFonts w:hint="eastAsia"/>
                      <w:color w:val="auto"/>
                      <w:kern w:val="2"/>
                      <w:vertAlign w:val="subscript"/>
                      <w:lang w:val="en-US" w:eastAsia="zh-CN"/>
                    </w:rPr>
                    <w:t>50</w:t>
                  </w:r>
                  <w:r>
                    <w:rPr>
                      <w:rFonts w:hint="eastAsia"/>
                      <w:color w:val="auto"/>
                      <w:kern w:val="2"/>
                      <w:lang w:val="en-US" w:eastAsia="zh-CN"/>
                    </w:rPr>
                    <w:t xml:space="preserve"> 2000毫克/公斤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vAlign w:val="center"/>
                </w:tcPr>
                <w:p>
                  <w:pPr>
                    <w:pStyle w:val="41"/>
                    <w:rPr>
                      <w:color w:val="auto"/>
                      <w:kern w:val="2"/>
                      <w:lang w:val="en-US" w:eastAsia="zh-CN"/>
                    </w:rPr>
                  </w:pPr>
                  <w:r>
                    <w:rPr>
                      <w:rFonts w:hint="eastAsia"/>
                      <w:color w:val="auto"/>
                      <w:kern w:val="2"/>
                      <w:lang w:val="en-US" w:eastAsia="zh-CN"/>
                    </w:rPr>
                    <w:t>高锰酸钾</w:t>
                  </w:r>
                </w:p>
              </w:tc>
              <w:tc>
                <w:tcPr>
                  <w:tcW w:w="975" w:type="dxa"/>
                  <w:vAlign w:val="center"/>
                </w:tcPr>
                <w:p>
                  <w:pPr>
                    <w:pStyle w:val="41"/>
                    <w:rPr>
                      <w:color w:val="auto"/>
                      <w:kern w:val="2"/>
                      <w:lang w:val="en-US" w:eastAsia="zh-CN"/>
                    </w:rPr>
                  </w:pPr>
                  <w:r>
                    <w:rPr>
                      <w:rFonts w:eastAsia="华文行楷"/>
                      <w:color w:val="auto"/>
                      <w:kern w:val="2"/>
                      <w:szCs w:val="21"/>
                      <w:shd w:val="clear" w:color="auto" w:fill="FFFFFF"/>
                      <w:lang w:val="en-US" w:eastAsia="zh-CN"/>
                    </w:rPr>
                    <w:t>KMnO</w:t>
                  </w:r>
                  <w:r>
                    <w:rPr>
                      <w:rFonts w:eastAsia="华文行楷"/>
                      <w:color w:val="auto"/>
                      <w:kern w:val="2"/>
                      <w:szCs w:val="21"/>
                      <w:shd w:val="clear" w:color="auto" w:fill="FFFFFF"/>
                      <w:vertAlign w:val="subscript"/>
                      <w:lang w:val="en-US" w:eastAsia="zh-CN"/>
                    </w:rPr>
                    <w:t>4</w:t>
                  </w:r>
                </w:p>
              </w:tc>
              <w:tc>
                <w:tcPr>
                  <w:tcW w:w="2974" w:type="dxa"/>
                  <w:vAlign w:val="center"/>
                </w:tcPr>
                <w:p>
                  <w:pPr>
                    <w:pStyle w:val="41"/>
                    <w:ind w:firstLine="420" w:firstLineChars="200"/>
                    <w:jc w:val="both"/>
                    <w:rPr>
                      <w:color w:val="auto"/>
                      <w:kern w:val="2"/>
                      <w:lang w:val="en-US" w:eastAsia="zh-CN"/>
                    </w:rPr>
                  </w:pPr>
                  <w:r>
                    <w:rPr>
                      <w:rFonts w:hint="eastAsia"/>
                      <w:color w:val="auto"/>
                      <w:kern w:val="2"/>
                      <w:lang w:val="en-US" w:eastAsia="zh-CN"/>
                    </w:rPr>
                    <w:t>深紫色细长斜方柱状结晶，有金属光泽，</w:t>
                  </w:r>
                  <w:r>
                    <w:rPr>
                      <w:color w:val="auto"/>
                      <w:kern w:val="2"/>
                      <w:lang w:val="en-US" w:eastAsia="zh-CN"/>
                    </w:rPr>
                    <w:t>溶于水呈深紫红色溶液</w:t>
                  </w:r>
                  <w:r>
                    <w:rPr>
                      <w:rFonts w:hint="eastAsia"/>
                      <w:color w:val="auto"/>
                      <w:kern w:val="2"/>
                      <w:lang w:val="en-US" w:eastAsia="zh-CN"/>
                    </w:rPr>
                    <w:t>。</w:t>
                  </w:r>
                  <w:r>
                    <w:rPr>
                      <w:color w:val="auto"/>
                      <w:kern w:val="2"/>
                      <w:lang w:val="en-US" w:eastAsia="zh-CN"/>
                    </w:rPr>
                    <w:t>溶解性：溶于水、碱液，微溶于甲醇、丙酮、硫酸</w:t>
                  </w:r>
                  <w:r>
                    <w:rPr>
                      <w:rFonts w:hint="eastAsia"/>
                      <w:color w:val="auto"/>
                      <w:kern w:val="2"/>
                      <w:lang w:val="en-US" w:eastAsia="zh-CN"/>
                    </w:rPr>
                    <w:t>。</w:t>
                  </w:r>
                  <w:r>
                    <w:rPr>
                      <w:color w:val="auto"/>
                      <w:kern w:val="2"/>
                      <w:lang w:val="en-US" w:eastAsia="zh-CN"/>
                    </w:rPr>
                    <w:t>密度：1.01g/cm3 at 25°C</w:t>
                  </w:r>
                  <w:r>
                    <w:rPr>
                      <w:rFonts w:hint="eastAsia"/>
                      <w:color w:val="auto"/>
                      <w:kern w:val="2"/>
                      <w:lang w:val="en-US" w:eastAsia="zh-CN"/>
                    </w:rPr>
                    <w:t>。</w:t>
                  </w:r>
                  <w:r>
                    <w:rPr>
                      <w:color w:val="auto"/>
                      <w:kern w:val="2"/>
                      <w:lang w:val="en-US" w:eastAsia="zh-CN"/>
                    </w:rPr>
                    <w:t>熔点：240°C</w:t>
                  </w:r>
                </w:p>
              </w:tc>
              <w:tc>
                <w:tcPr>
                  <w:tcW w:w="1675" w:type="dxa"/>
                  <w:vAlign w:val="center"/>
                </w:tcPr>
                <w:p>
                  <w:pPr>
                    <w:pStyle w:val="41"/>
                    <w:rPr>
                      <w:color w:val="auto"/>
                      <w:kern w:val="2"/>
                      <w:lang w:val="en-US" w:eastAsia="zh-CN"/>
                    </w:rPr>
                  </w:pPr>
                  <w:r>
                    <w:rPr>
                      <w:rFonts w:hint="eastAsia"/>
                      <w:color w:val="auto"/>
                      <w:kern w:val="2"/>
                      <w:lang w:val="en-US" w:eastAsia="zh-CN"/>
                    </w:rPr>
                    <w:t>不燃，可助燃。与可燃物混合会发生爆炸。遇高热分解</w:t>
                  </w:r>
                </w:p>
              </w:tc>
              <w:tc>
                <w:tcPr>
                  <w:tcW w:w="1956" w:type="dxa"/>
                  <w:vAlign w:val="center"/>
                </w:tcPr>
                <w:p>
                  <w:pPr>
                    <w:pStyle w:val="41"/>
                    <w:rPr>
                      <w:color w:val="auto"/>
                      <w:kern w:val="2"/>
                      <w:lang w:val="en-US" w:eastAsia="zh-CN"/>
                    </w:rPr>
                  </w:pPr>
                  <w:r>
                    <w:rPr>
                      <w:rFonts w:hint="eastAsia"/>
                      <w:color w:val="auto"/>
                      <w:kern w:val="2"/>
                      <w:lang w:val="en-US" w:eastAsia="zh-CN"/>
                    </w:rPr>
                    <w:t>LD</w:t>
                  </w:r>
                  <w:r>
                    <w:rPr>
                      <w:rFonts w:hint="eastAsia"/>
                      <w:color w:val="auto"/>
                      <w:kern w:val="2"/>
                      <w:vertAlign w:val="subscript"/>
                      <w:lang w:val="en-US" w:eastAsia="zh-CN"/>
                    </w:rPr>
                    <w:t>50</w:t>
                  </w:r>
                  <w:r>
                    <w:rPr>
                      <w:rFonts w:hint="eastAsia"/>
                      <w:color w:val="auto"/>
                      <w:kern w:val="2"/>
                      <w:lang w:val="en-US" w:eastAsia="zh-CN"/>
                    </w:rPr>
                    <w:t>：810 mg/kg（大鼠经口）.</w:t>
                  </w:r>
                </w:p>
              </w:tc>
            </w:tr>
          </w:tbl>
          <w:p>
            <w:pPr>
              <w:pStyle w:val="4"/>
              <w:rPr>
                <w:color w:val="auto"/>
                <w:kern w:val="2"/>
                <w:szCs w:val="24"/>
                <w:lang w:val="en-US" w:eastAsia="zh-CN"/>
              </w:rPr>
            </w:pPr>
            <w:r>
              <w:rPr>
                <w:rFonts w:hint="eastAsia"/>
                <w:color w:val="auto"/>
                <w:kern w:val="2"/>
                <w:szCs w:val="24"/>
                <w:lang w:val="en-US" w:eastAsia="zh-CN"/>
              </w:rPr>
              <w:t>3.水平衡分析</w:t>
            </w:r>
          </w:p>
          <w:p>
            <w:pPr>
              <w:pStyle w:val="2"/>
              <w:keepNext w:val="0"/>
              <w:keepLines w:val="0"/>
              <w:pageBreakBefore w:val="0"/>
              <w:widowControl/>
              <w:kinsoku/>
              <w:wordWrap/>
              <w:overflowPunct/>
              <w:topLinePunct w:val="0"/>
              <w:autoSpaceDE/>
              <w:autoSpaceDN/>
              <w:bidi w:val="0"/>
              <w:adjustRightInd/>
              <w:snapToGrid w:val="0"/>
              <w:ind w:left="0" w:leftChars="0" w:firstLine="480"/>
              <w:textAlignment w:val="auto"/>
              <w:rPr>
                <w:color w:val="auto"/>
                <w:szCs w:val="24"/>
                <w:lang w:val="en-US" w:eastAsia="zh-CN"/>
              </w:rPr>
            </w:pPr>
            <w:r>
              <w:rPr>
                <w:rFonts w:hint="eastAsia"/>
                <w:color w:val="auto"/>
                <w:szCs w:val="24"/>
                <w:lang w:val="en-US" w:eastAsia="zh-CN"/>
              </w:rPr>
              <w:t>本项目用水主要为生活用水、食堂餐饮用水、实验用水及绿化用水。</w:t>
            </w:r>
          </w:p>
          <w:p>
            <w:pPr>
              <w:pStyle w:val="2"/>
              <w:keepNext w:val="0"/>
              <w:keepLines w:val="0"/>
              <w:pageBreakBefore w:val="0"/>
              <w:widowControl/>
              <w:numPr>
                <w:ilvl w:val="0"/>
                <w:numId w:val="3"/>
              </w:numPr>
              <w:kinsoku/>
              <w:wordWrap/>
              <w:overflowPunct/>
              <w:topLinePunct w:val="0"/>
              <w:autoSpaceDE/>
              <w:autoSpaceDN/>
              <w:bidi w:val="0"/>
              <w:adjustRightInd/>
              <w:snapToGrid w:val="0"/>
              <w:ind w:left="0" w:leftChars="0" w:firstLine="0" w:firstLineChars="0"/>
              <w:textAlignment w:val="auto"/>
              <w:rPr>
                <w:color w:val="auto"/>
                <w:lang w:val="en-US" w:eastAsia="zh-CN"/>
              </w:rPr>
            </w:pPr>
            <w:r>
              <w:rPr>
                <w:rFonts w:hint="eastAsia"/>
                <w:color w:val="auto"/>
                <w:lang w:val="en-US" w:eastAsia="zh-CN"/>
              </w:rPr>
              <w:t>生活用水</w:t>
            </w:r>
          </w:p>
          <w:p>
            <w:pPr>
              <w:pStyle w:val="2"/>
              <w:keepNext w:val="0"/>
              <w:keepLines w:val="0"/>
              <w:pageBreakBefore w:val="0"/>
              <w:widowControl/>
              <w:numPr>
                <w:ilvl w:val="0"/>
                <w:numId w:val="0"/>
              </w:numPr>
              <w:kinsoku/>
              <w:wordWrap/>
              <w:overflowPunct/>
              <w:topLinePunct w:val="0"/>
              <w:autoSpaceDE/>
              <w:autoSpaceDN/>
              <w:bidi w:val="0"/>
              <w:adjustRightInd/>
              <w:snapToGrid w:val="0"/>
              <w:ind w:leftChars="0" w:firstLine="480" w:firstLineChars="200"/>
              <w:textAlignment w:val="auto"/>
              <w:rPr>
                <w:color w:val="auto"/>
                <w:lang w:val="en-US" w:eastAsia="zh-CN"/>
              </w:rPr>
            </w:pPr>
            <w:r>
              <w:rPr>
                <w:rFonts w:hint="eastAsia"/>
                <w:color w:val="auto"/>
                <w:lang w:val="en-US" w:eastAsia="zh-CN"/>
              </w:rPr>
              <w:t>项目师生共1300人，住校时间按一年300天计，根据《安徽省行业用水定额（2019年版）》规定</w:t>
            </w:r>
            <w:bookmarkStart w:id="9" w:name="OLE_LINK17"/>
            <w:bookmarkStart w:id="10" w:name="OLE_LINK11"/>
            <w:r>
              <w:rPr>
                <w:rFonts w:hint="eastAsia"/>
                <w:color w:val="auto"/>
                <w:lang w:val="en-US" w:eastAsia="zh-CN"/>
              </w:rPr>
              <w:t>“初级中学—住宿”110</w:t>
            </w:r>
            <w:r>
              <w:rPr>
                <w:color w:val="auto"/>
                <w:lang w:val="en-US" w:eastAsia="zh-CN"/>
              </w:rPr>
              <w:t>L/</w:t>
            </w:r>
            <w:r>
              <w:rPr>
                <w:rFonts w:hint="eastAsia"/>
                <w:color w:val="auto"/>
                <w:lang w:val="en-US" w:eastAsia="zh-CN"/>
              </w:rPr>
              <w:t>人</w:t>
            </w:r>
            <w:r>
              <w:rPr>
                <w:color w:val="auto"/>
                <w:lang w:val="en-US" w:eastAsia="zh-CN"/>
              </w:rPr>
              <w:t>·d</w:t>
            </w:r>
            <w:bookmarkEnd w:id="9"/>
            <w:bookmarkEnd w:id="10"/>
            <w:r>
              <w:rPr>
                <w:rFonts w:hint="eastAsia"/>
                <w:color w:val="auto"/>
                <w:lang w:val="en-US" w:eastAsia="zh-CN"/>
              </w:rPr>
              <w:t>，则拟建项目师生用水量为42900t/a，排污系数为0.8，则师生污水排放量为34320t/a，其中包括日常生活污水与食堂餐饮用水，拟建项目食堂每天就餐人数按1300人计，餐饮用水量按照20L/人·天计，一年按运营300天计，拟建项目食堂餐饮用水量为7800t/a。排污系数取0.8，则食堂餐饮污水排放量为6240t，日常生活污水排放量为28080t。</w:t>
            </w:r>
          </w:p>
          <w:p>
            <w:pPr>
              <w:pStyle w:val="2"/>
              <w:keepNext w:val="0"/>
              <w:keepLines w:val="0"/>
              <w:pageBreakBefore w:val="0"/>
              <w:widowControl/>
              <w:numPr>
                <w:ilvl w:val="0"/>
                <w:numId w:val="3"/>
              </w:numPr>
              <w:kinsoku/>
              <w:wordWrap/>
              <w:overflowPunct/>
              <w:topLinePunct w:val="0"/>
              <w:autoSpaceDE/>
              <w:autoSpaceDN/>
              <w:bidi w:val="0"/>
              <w:adjustRightInd/>
              <w:snapToGrid w:val="0"/>
              <w:ind w:left="0" w:leftChars="0" w:firstLine="0" w:firstLineChars="0"/>
              <w:textAlignment w:val="auto"/>
              <w:rPr>
                <w:color w:val="auto"/>
                <w:lang w:val="en-US" w:eastAsia="zh-CN"/>
              </w:rPr>
            </w:pPr>
            <w:r>
              <w:rPr>
                <w:rFonts w:hint="eastAsia"/>
                <w:color w:val="auto"/>
                <w:lang w:val="en-US" w:eastAsia="zh-CN"/>
              </w:rPr>
              <w:t>实验用水</w:t>
            </w:r>
          </w:p>
          <w:p>
            <w:pPr>
              <w:pStyle w:val="2"/>
              <w:keepNext w:val="0"/>
              <w:keepLines w:val="0"/>
              <w:pageBreakBefore w:val="0"/>
              <w:widowControl/>
              <w:kinsoku/>
              <w:wordWrap/>
              <w:overflowPunct/>
              <w:topLinePunct w:val="0"/>
              <w:autoSpaceDE/>
              <w:autoSpaceDN/>
              <w:bidi w:val="0"/>
              <w:adjustRightInd/>
              <w:snapToGrid w:val="0"/>
              <w:ind w:left="0" w:leftChars="0" w:firstLine="480" w:firstLineChars="200"/>
              <w:textAlignment w:val="auto"/>
              <w:rPr>
                <w:color w:val="auto"/>
                <w:lang w:val="en-US" w:eastAsia="zh-CN"/>
              </w:rPr>
            </w:pPr>
            <w:r>
              <w:rPr>
                <w:rFonts w:hint="eastAsia"/>
                <w:color w:val="auto"/>
                <w:lang w:val="en-US" w:eastAsia="zh-CN"/>
              </w:rPr>
              <w:t>项目设有简单初中教学用实验室，项目共有在校生约1200人，每学年约有10次实验课，即每年有12000人次学生参加实验课，通过类比《</w:t>
            </w:r>
            <w:r>
              <w:rPr>
                <w:rFonts w:hint="eastAsia"/>
                <w:bCs/>
                <w:color w:val="auto"/>
                <w:szCs w:val="24"/>
                <w:lang w:val="en-US" w:eastAsia="zh-CN"/>
              </w:rPr>
              <w:t>黄山安琪尔环境检测有限公司标准化环境检测实验室建设项目</w:t>
            </w:r>
            <w:r>
              <w:rPr>
                <w:rFonts w:hint="eastAsia"/>
                <w:color w:val="auto"/>
                <w:lang w:val="en-US" w:eastAsia="zh-CN"/>
              </w:rPr>
              <w:t>》，</w:t>
            </w:r>
            <w:r>
              <w:rPr>
                <w:color w:val="auto"/>
                <w:lang w:val="zh-CN" w:eastAsia="zh-CN"/>
              </w:rPr>
              <w:t>实验用水量为</w:t>
            </w:r>
            <w:r>
              <w:rPr>
                <w:rFonts w:hint="eastAsia"/>
                <w:color w:val="auto"/>
                <w:lang w:val="en-US" w:eastAsia="zh-CN"/>
              </w:rPr>
              <w:t>6L/（次·人），则实验室用水量约为72t/a</w:t>
            </w:r>
            <w:r>
              <w:rPr>
                <w:color w:val="auto"/>
                <w:lang w:val="zh-CN" w:eastAsia="zh-CN"/>
              </w:rPr>
              <w:t>，</w:t>
            </w:r>
            <w:r>
              <w:rPr>
                <w:rFonts w:hint="eastAsia"/>
                <w:color w:val="auto"/>
                <w:lang w:val="en-US" w:eastAsia="zh-CN"/>
              </w:rPr>
              <w:t>实验废水全收集，</w:t>
            </w:r>
            <w:r>
              <w:rPr>
                <w:color w:val="auto"/>
                <w:lang w:val="zh-CN" w:eastAsia="zh-CN"/>
              </w:rPr>
              <w:t>则实验废水</w:t>
            </w:r>
            <w:r>
              <w:rPr>
                <w:rFonts w:hint="eastAsia"/>
                <w:color w:val="auto"/>
                <w:lang w:val="en-US" w:eastAsia="zh-CN"/>
              </w:rPr>
              <w:t>排放量为72t/a，实验废水污染物浓度为pH2~12（无量纲）、COD400mg/L、SS300mg/L、NH</w:t>
            </w:r>
            <w:r>
              <w:rPr>
                <w:rFonts w:hint="eastAsia"/>
                <w:color w:val="auto"/>
                <w:vertAlign w:val="subscript"/>
                <w:lang w:val="en-US" w:eastAsia="zh-CN"/>
              </w:rPr>
              <w:t>3</w:t>
            </w:r>
            <w:r>
              <w:rPr>
                <w:rFonts w:hint="eastAsia"/>
                <w:color w:val="auto"/>
                <w:lang w:val="en-US" w:eastAsia="zh-CN"/>
              </w:rPr>
              <w:t>-N30mg/L。实验废水导入特定容器统一收集后经中和池预处理后排入校区设置的化粪池处理。然后通过市政管网排入黄山市第二污水处理厂。</w:t>
            </w:r>
          </w:p>
          <w:p>
            <w:pPr>
              <w:pStyle w:val="2"/>
              <w:keepNext w:val="0"/>
              <w:keepLines w:val="0"/>
              <w:pageBreakBefore w:val="0"/>
              <w:widowControl/>
              <w:kinsoku/>
              <w:wordWrap/>
              <w:overflowPunct/>
              <w:topLinePunct w:val="0"/>
              <w:autoSpaceDE/>
              <w:autoSpaceDN/>
              <w:bidi w:val="0"/>
              <w:adjustRightInd/>
              <w:snapToGrid w:val="0"/>
              <w:ind w:left="0" w:leftChars="0" w:firstLine="0" w:firstLineChars="0"/>
              <w:textAlignment w:val="auto"/>
              <w:rPr>
                <w:color w:val="auto"/>
                <w:lang w:val="en-US" w:eastAsia="zh-CN"/>
              </w:rPr>
            </w:pPr>
            <w:r>
              <w:rPr>
                <w:rFonts w:hint="eastAsia"/>
                <w:color w:val="auto"/>
                <w:lang w:val="en-US" w:eastAsia="zh-CN"/>
              </w:rPr>
              <w:t>（3）绿化用水</w:t>
            </w:r>
          </w:p>
          <w:p>
            <w:pPr>
              <w:pStyle w:val="2"/>
              <w:keepNext w:val="0"/>
              <w:keepLines w:val="0"/>
              <w:pageBreakBefore w:val="0"/>
              <w:widowControl/>
              <w:kinsoku/>
              <w:wordWrap/>
              <w:overflowPunct/>
              <w:topLinePunct w:val="0"/>
              <w:autoSpaceDE/>
              <w:autoSpaceDN/>
              <w:bidi w:val="0"/>
              <w:adjustRightInd/>
              <w:snapToGrid w:val="0"/>
              <w:ind w:left="0" w:leftChars="0" w:firstLine="480" w:firstLineChars="200"/>
              <w:textAlignment w:val="auto"/>
              <w:rPr>
                <w:color w:val="auto"/>
                <w:szCs w:val="24"/>
                <w:lang w:val="en-US" w:eastAsia="zh-CN"/>
              </w:rPr>
            </w:pPr>
            <w:r>
              <w:rPr>
                <w:rFonts w:hint="eastAsia"/>
                <w:color w:val="auto"/>
                <w:lang w:val="en-US" w:eastAsia="zh-CN"/>
              </w:rPr>
              <w:t>拟建项目绿化面积约为</w:t>
            </w:r>
            <w:r>
              <w:rPr>
                <w:rFonts w:hint="eastAsia"/>
                <w:color w:val="auto"/>
                <w:szCs w:val="24"/>
                <w:lang w:val="en-US" w:eastAsia="zh-CN"/>
              </w:rPr>
              <w:t>7679.6m</w:t>
            </w:r>
            <w:r>
              <w:rPr>
                <w:rFonts w:hint="eastAsia"/>
                <w:color w:val="auto"/>
                <w:szCs w:val="24"/>
                <w:vertAlign w:val="superscript"/>
                <w:lang w:val="en-US" w:eastAsia="zh-CN"/>
              </w:rPr>
              <w:t>2</w:t>
            </w:r>
            <w:r>
              <w:rPr>
                <w:rFonts w:hint="eastAsia"/>
                <w:color w:val="auto"/>
                <w:szCs w:val="24"/>
                <w:lang w:val="en-US" w:eastAsia="zh-CN"/>
              </w:rPr>
              <w:t>，《安徽省行业用水定额（2019版）中</w:t>
            </w:r>
          </w:p>
          <w:p>
            <w:pPr>
              <w:pStyle w:val="2"/>
              <w:keepNext w:val="0"/>
              <w:keepLines w:val="0"/>
              <w:pageBreakBefore w:val="0"/>
              <w:widowControl/>
              <w:kinsoku/>
              <w:wordWrap/>
              <w:overflowPunct/>
              <w:topLinePunct w:val="0"/>
              <w:autoSpaceDE/>
              <w:autoSpaceDN/>
              <w:bidi w:val="0"/>
              <w:adjustRightInd/>
              <w:snapToGrid w:val="0"/>
              <w:ind w:left="0" w:leftChars="0" w:firstLine="0" w:firstLineChars="0"/>
              <w:textAlignment w:val="auto"/>
              <w:rPr>
                <w:color w:val="auto"/>
                <w:szCs w:val="24"/>
                <w:lang w:val="en-US" w:eastAsia="zh-CN"/>
              </w:rPr>
            </w:pPr>
            <w:r>
              <w:rPr>
                <w:rFonts w:hint="eastAsia"/>
                <w:color w:val="auto"/>
                <w:szCs w:val="24"/>
                <w:lang w:val="en-US" w:eastAsia="zh-CN"/>
              </w:rPr>
              <w:t>规定“绿地绿化用水”0.9m</w:t>
            </w:r>
            <w:r>
              <w:rPr>
                <w:rFonts w:hint="eastAsia"/>
                <w:color w:val="auto"/>
                <w:szCs w:val="24"/>
                <w:vertAlign w:val="superscript"/>
                <w:lang w:val="en-US" w:eastAsia="zh-CN"/>
              </w:rPr>
              <w:t>3</w:t>
            </w:r>
            <w:r>
              <w:rPr>
                <w:rFonts w:hint="eastAsia"/>
                <w:color w:val="auto"/>
                <w:szCs w:val="24"/>
                <w:lang w:val="en-US" w:eastAsia="zh-CN"/>
              </w:rPr>
              <w:t>/（m</w:t>
            </w:r>
            <w:r>
              <w:rPr>
                <w:rFonts w:hint="eastAsia"/>
                <w:color w:val="auto"/>
                <w:szCs w:val="24"/>
                <w:vertAlign w:val="superscript"/>
                <w:lang w:val="en-US" w:eastAsia="zh-CN"/>
              </w:rPr>
              <w:t>2</w:t>
            </w:r>
            <w:r>
              <w:rPr>
                <w:rFonts w:hint="eastAsia"/>
                <w:color w:val="auto"/>
                <w:szCs w:val="24"/>
                <w:lang w:val="en-US" w:eastAsia="zh-CN"/>
              </w:rPr>
              <w:t>·a），则拟建项目绿化用水量为6911.64t/a，这部分用水全部自然蒸发损耗，不外排。</w:t>
            </w:r>
          </w:p>
          <w:p>
            <w:pPr>
              <w:spacing w:line="360" w:lineRule="auto"/>
              <w:ind w:firstLine="480" w:firstLineChars="200"/>
              <w:rPr>
                <w:color w:val="auto"/>
                <w:sz w:val="24"/>
              </w:rPr>
            </w:pPr>
            <w:r>
              <w:rPr>
                <w:color w:val="auto"/>
                <w:sz w:val="24"/>
              </w:rPr>
              <w:t>综上，本项目用、排水详见表</w:t>
            </w:r>
            <w:r>
              <w:rPr>
                <w:rFonts w:hint="eastAsia"/>
                <w:color w:val="auto"/>
                <w:sz w:val="24"/>
              </w:rPr>
              <w:t>2-4、图2-1</w:t>
            </w:r>
            <w:r>
              <w:rPr>
                <w:color w:val="auto"/>
                <w:sz w:val="24"/>
              </w:rPr>
              <w:t>。</w:t>
            </w:r>
          </w:p>
          <w:p>
            <w:pPr>
              <w:pStyle w:val="50"/>
              <w:spacing w:line="240" w:lineRule="auto"/>
              <w:rPr>
                <w:color w:val="auto"/>
              </w:rPr>
            </w:pPr>
            <w:r>
              <w:rPr>
                <w:color w:val="auto"/>
              </w:rPr>
              <w:t>表</w:t>
            </w:r>
            <w:r>
              <w:rPr>
                <w:rFonts w:hint="eastAsia"/>
                <w:color w:val="auto"/>
              </w:rPr>
              <w:t>2-4</w:t>
            </w:r>
            <w:r>
              <w:rPr>
                <w:color w:val="auto"/>
              </w:rPr>
              <w:t xml:space="preserve">  项目用、排水量一览表</w:t>
            </w:r>
          </w:p>
          <w:tbl>
            <w:tblPr>
              <w:tblStyle w:val="21"/>
              <w:tblW w:w="7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749"/>
              <w:gridCol w:w="1461"/>
              <w:gridCol w:w="1589"/>
              <w:gridCol w:w="1037"/>
              <w:gridCol w:w="688"/>
              <w:gridCol w:w="650"/>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op w:val="single" w:color="auto" w:sz="4" w:space="0"/>
                    <w:left w:val="single" w:color="auto" w:sz="4" w:space="0"/>
                    <w:bottom w:val="single" w:color="auto" w:sz="4" w:space="0"/>
                    <w:right w:val="single" w:color="auto" w:sz="4" w:space="0"/>
                  </w:tcBorders>
                  <w:vAlign w:val="center"/>
                </w:tcPr>
                <w:p>
                  <w:pPr>
                    <w:snapToGrid w:val="0"/>
                    <w:jc w:val="center"/>
                    <w:rPr>
                      <w:b/>
                      <w:bCs/>
                      <w:color w:val="auto"/>
                      <w:szCs w:val="21"/>
                    </w:rPr>
                  </w:pPr>
                  <w:r>
                    <w:rPr>
                      <w:b/>
                      <w:bCs/>
                      <w:color w:val="auto"/>
                      <w:szCs w:val="21"/>
                    </w:rPr>
                    <w:t>用水项目</w:t>
                  </w:r>
                </w:p>
              </w:tc>
              <w:tc>
                <w:tcPr>
                  <w:tcW w:w="2210" w:type="dxa"/>
                  <w:gridSpan w:val="2"/>
                  <w:tcBorders>
                    <w:top w:val="single" w:color="auto" w:sz="4" w:space="0"/>
                    <w:left w:val="nil"/>
                    <w:bottom w:val="single" w:color="auto" w:sz="4" w:space="0"/>
                    <w:right w:val="single" w:color="auto" w:sz="4" w:space="0"/>
                  </w:tcBorders>
                  <w:vAlign w:val="center"/>
                </w:tcPr>
                <w:p>
                  <w:pPr>
                    <w:snapToGrid w:val="0"/>
                    <w:jc w:val="center"/>
                    <w:rPr>
                      <w:b/>
                      <w:bCs/>
                      <w:color w:val="auto"/>
                      <w:szCs w:val="21"/>
                    </w:rPr>
                  </w:pPr>
                  <w:r>
                    <w:rPr>
                      <w:b/>
                      <w:bCs/>
                      <w:color w:val="auto"/>
                      <w:szCs w:val="21"/>
                    </w:rPr>
                    <w:t>用水系数</w:t>
                  </w:r>
                </w:p>
              </w:tc>
              <w:tc>
                <w:tcPr>
                  <w:tcW w:w="1589" w:type="dxa"/>
                  <w:tcBorders>
                    <w:top w:val="single" w:color="auto" w:sz="4" w:space="0"/>
                    <w:left w:val="single" w:color="auto" w:sz="4" w:space="0"/>
                    <w:bottom w:val="single" w:color="auto" w:sz="4" w:space="0"/>
                    <w:right w:val="single" w:color="auto" w:sz="4" w:space="0"/>
                  </w:tcBorders>
                  <w:vAlign w:val="center"/>
                </w:tcPr>
                <w:p>
                  <w:pPr>
                    <w:snapToGrid w:val="0"/>
                    <w:jc w:val="center"/>
                    <w:rPr>
                      <w:b/>
                      <w:bCs/>
                      <w:color w:val="auto"/>
                      <w:szCs w:val="21"/>
                    </w:rPr>
                  </w:pPr>
                  <w:r>
                    <w:rPr>
                      <w:b/>
                      <w:bCs/>
                      <w:color w:val="auto"/>
                      <w:szCs w:val="21"/>
                    </w:rPr>
                    <w:t>参数</w:t>
                  </w:r>
                </w:p>
              </w:tc>
              <w:tc>
                <w:tcPr>
                  <w:tcW w:w="1037" w:type="dxa"/>
                  <w:tcBorders>
                    <w:top w:val="single" w:color="auto" w:sz="4" w:space="0"/>
                    <w:left w:val="nil"/>
                    <w:bottom w:val="single" w:color="auto" w:sz="4" w:space="0"/>
                    <w:right w:val="single" w:color="auto" w:sz="4" w:space="0"/>
                  </w:tcBorders>
                  <w:vAlign w:val="center"/>
                </w:tcPr>
                <w:p>
                  <w:pPr>
                    <w:snapToGrid w:val="0"/>
                    <w:jc w:val="center"/>
                    <w:rPr>
                      <w:b/>
                      <w:bCs/>
                      <w:color w:val="auto"/>
                      <w:szCs w:val="21"/>
                    </w:rPr>
                  </w:pPr>
                  <w:r>
                    <w:rPr>
                      <w:b/>
                      <w:bCs/>
                      <w:color w:val="auto"/>
                      <w:szCs w:val="21"/>
                    </w:rPr>
                    <w:t>年用水量（t/a）</w:t>
                  </w:r>
                </w:p>
              </w:tc>
              <w:tc>
                <w:tcPr>
                  <w:tcW w:w="688" w:type="dxa"/>
                  <w:tcBorders>
                    <w:top w:val="single" w:color="auto" w:sz="4" w:space="0"/>
                    <w:left w:val="nil"/>
                    <w:bottom w:val="single" w:color="auto" w:sz="4" w:space="0"/>
                    <w:right w:val="single" w:color="auto" w:sz="4" w:space="0"/>
                  </w:tcBorders>
                  <w:vAlign w:val="center"/>
                </w:tcPr>
                <w:p>
                  <w:pPr>
                    <w:snapToGrid w:val="0"/>
                    <w:jc w:val="center"/>
                    <w:rPr>
                      <w:b/>
                      <w:bCs/>
                      <w:color w:val="auto"/>
                      <w:szCs w:val="21"/>
                    </w:rPr>
                  </w:pPr>
                  <w:r>
                    <w:rPr>
                      <w:b/>
                      <w:bCs/>
                      <w:color w:val="auto"/>
                      <w:szCs w:val="21"/>
                    </w:rPr>
                    <w:t>产污系数</w:t>
                  </w:r>
                </w:p>
              </w:tc>
              <w:tc>
                <w:tcPr>
                  <w:tcW w:w="1302" w:type="dxa"/>
                  <w:gridSpan w:val="2"/>
                  <w:tcBorders>
                    <w:top w:val="single" w:color="auto" w:sz="4" w:space="0"/>
                    <w:left w:val="nil"/>
                    <w:bottom w:val="single" w:color="auto" w:sz="4" w:space="0"/>
                    <w:right w:val="single" w:color="auto" w:sz="4" w:space="0"/>
                  </w:tcBorders>
                  <w:vAlign w:val="center"/>
                </w:tcPr>
                <w:p>
                  <w:pPr>
                    <w:snapToGrid w:val="0"/>
                    <w:jc w:val="center"/>
                    <w:rPr>
                      <w:b/>
                      <w:bCs/>
                      <w:color w:val="auto"/>
                      <w:szCs w:val="21"/>
                    </w:rPr>
                  </w:pPr>
                  <w:r>
                    <w:rPr>
                      <w:b/>
                      <w:bCs/>
                      <w:color w:val="auto"/>
                      <w:szCs w:val="21"/>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06" w:type="dxa"/>
                  <w:vMerge w:val="restart"/>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lang w:val="en-US" w:eastAsia="zh-CN"/>
                    </w:rPr>
                    <w:t>师生</w:t>
                  </w:r>
                  <w:r>
                    <w:rPr>
                      <w:color w:val="auto"/>
                      <w:szCs w:val="21"/>
                    </w:rPr>
                    <w:t>用水</w:t>
                  </w:r>
                </w:p>
              </w:tc>
              <w:tc>
                <w:tcPr>
                  <w:tcW w:w="2210" w:type="dxa"/>
                  <w:gridSpan w:val="2"/>
                  <w:tcBorders>
                    <w:top w:val="single" w:color="auto" w:sz="4" w:space="0"/>
                    <w:left w:val="nil"/>
                    <w:bottom w:val="single" w:color="auto" w:sz="4" w:space="0"/>
                    <w:right w:val="single" w:color="auto" w:sz="4" w:space="0"/>
                  </w:tcBorders>
                  <w:vAlign w:val="center"/>
                </w:tcPr>
                <w:p>
                  <w:pPr>
                    <w:snapToGrid w:val="0"/>
                    <w:jc w:val="center"/>
                    <w:rPr>
                      <w:rFonts w:hint="default" w:eastAsia="宋体"/>
                      <w:color w:val="auto"/>
                      <w:szCs w:val="21"/>
                      <w:lang w:val="en-US" w:eastAsia="zh-CN"/>
                    </w:rPr>
                  </w:pPr>
                  <w:r>
                    <w:rPr>
                      <w:rFonts w:hint="eastAsia"/>
                      <w:color w:val="auto"/>
                    </w:rPr>
                    <w:t>110</w:t>
                  </w:r>
                  <w:r>
                    <w:rPr>
                      <w:color w:val="auto"/>
                    </w:rPr>
                    <w:t>L/</w:t>
                  </w:r>
                  <w:r>
                    <w:rPr>
                      <w:rFonts w:hint="eastAsia"/>
                      <w:color w:val="auto"/>
                    </w:rPr>
                    <w:t>人</w:t>
                  </w:r>
                  <w:r>
                    <w:rPr>
                      <w:color w:val="auto"/>
                    </w:rPr>
                    <w:t>·d</w:t>
                  </w:r>
                  <w:r>
                    <w:rPr>
                      <w:rFonts w:hint="eastAsia"/>
                      <w:color w:val="auto"/>
                      <w:lang w:val="en-US" w:eastAsia="zh-CN"/>
                    </w:rPr>
                    <w:t>(生活用水）</w:t>
                  </w:r>
                </w:p>
              </w:tc>
              <w:tc>
                <w:tcPr>
                  <w:tcW w:w="1589" w:type="dxa"/>
                  <w:vMerge w:val="restart"/>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rPr>
                    <w:t>项目师生共1300人</w:t>
                  </w:r>
                  <w:r>
                    <w:rPr>
                      <w:color w:val="auto"/>
                      <w:szCs w:val="21"/>
                    </w:rPr>
                    <w:t>，</w:t>
                  </w:r>
                  <w:r>
                    <w:rPr>
                      <w:rFonts w:hint="eastAsia"/>
                      <w:color w:val="auto"/>
                    </w:rPr>
                    <w:t>一年300天</w:t>
                  </w:r>
                </w:p>
              </w:tc>
              <w:tc>
                <w:tcPr>
                  <w:tcW w:w="1037" w:type="dxa"/>
                  <w:vMerge w:val="restart"/>
                  <w:tcBorders>
                    <w:top w:val="single" w:color="auto" w:sz="4" w:space="0"/>
                    <w:left w:val="nil"/>
                    <w:right w:val="single" w:color="auto" w:sz="4" w:space="0"/>
                  </w:tcBorders>
                  <w:vAlign w:val="center"/>
                </w:tcPr>
                <w:p>
                  <w:pPr>
                    <w:snapToGrid w:val="0"/>
                    <w:jc w:val="center"/>
                    <w:rPr>
                      <w:color w:val="auto"/>
                      <w:szCs w:val="21"/>
                    </w:rPr>
                  </w:pPr>
                  <w:r>
                    <w:rPr>
                      <w:rFonts w:hint="eastAsia"/>
                      <w:color w:val="auto"/>
                    </w:rPr>
                    <w:t>42900</w:t>
                  </w:r>
                </w:p>
              </w:tc>
              <w:tc>
                <w:tcPr>
                  <w:tcW w:w="688" w:type="dxa"/>
                  <w:vMerge w:val="restart"/>
                  <w:tcBorders>
                    <w:top w:val="single" w:color="auto" w:sz="4" w:space="0"/>
                    <w:left w:val="nil"/>
                    <w:right w:val="single" w:color="auto" w:sz="4" w:space="0"/>
                  </w:tcBorders>
                  <w:vAlign w:val="center"/>
                </w:tcPr>
                <w:p>
                  <w:pPr>
                    <w:snapToGrid w:val="0"/>
                    <w:jc w:val="center"/>
                    <w:rPr>
                      <w:color w:val="auto"/>
                      <w:szCs w:val="21"/>
                    </w:rPr>
                  </w:pPr>
                  <w:r>
                    <w:rPr>
                      <w:color w:val="auto"/>
                      <w:szCs w:val="21"/>
                    </w:rPr>
                    <w:t>0.8</w:t>
                  </w:r>
                </w:p>
              </w:tc>
              <w:tc>
                <w:tcPr>
                  <w:tcW w:w="1302" w:type="dxa"/>
                  <w:gridSpan w:val="2"/>
                  <w:tcBorders>
                    <w:top w:val="single" w:color="auto" w:sz="4" w:space="0"/>
                    <w:left w:val="nil"/>
                    <w:right w:val="single" w:color="auto" w:sz="4" w:space="0"/>
                  </w:tcBorders>
                  <w:vAlign w:val="center"/>
                </w:tcPr>
                <w:p>
                  <w:pPr>
                    <w:snapToGrid w:val="0"/>
                    <w:jc w:val="center"/>
                    <w:rPr>
                      <w:rFonts w:hint="default" w:eastAsia="宋体"/>
                      <w:color w:val="auto"/>
                      <w:szCs w:val="21"/>
                      <w:lang w:val="en-US" w:eastAsia="zh-CN"/>
                    </w:rPr>
                  </w:pPr>
                  <w:r>
                    <w:rPr>
                      <w:rFonts w:hint="eastAsia"/>
                      <w:color w:val="auto"/>
                      <w:lang w:val="en-US" w:eastAsia="zh-CN"/>
                    </w:rPr>
                    <w:t>34320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106" w:type="dxa"/>
                  <w:vMerge w:val="continue"/>
                  <w:tcBorders>
                    <w:left w:val="single" w:color="auto" w:sz="4" w:space="0"/>
                    <w:bottom w:val="single" w:color="auto" w:sz="4" w:space="0"/>
                    <w:right w:val="single" w:color="auto" w:sz="4" w:space="0"/>
                  </w:tcBorders>
                  <w:vAlign w:val="center"/>
                </w:tcPr>
                <w:p>
                  <w:pPr>
                    <w:snapToGrid w:val="0"/>
                    <w:jc w:val="center"/>
                    <w:rPr>
                      <w:rFonts w:hint="eastAsia"/>
                      <w:color w:val="auto"/>
                      <w:szCs w:val="21"/>
                    </w:rPr>
                  </w:pPr>
                </w:p>
              </w:tc>
              <w:tc>
                <w:tcPr>
                  <w:tcW w:w="749" w:type="dxa"/>
                  <w:tcBorders>
                    <w:top w:val="single" w:color="auto" w:sz="4" w:space="0"/>
                    <w:left w:val="nil"/>
                    <w:bottom w:val="single" w:color="auto" w:sz="4" w:space="0"/>
                    <w:right w:val="single" w:color="auto" w:sz="4" w:space="0"/>
                  </w:tcBorders>
                  <w:vAlign w:val="center"/>
                </w:tcPr>
                <w:p>
                  <w:pPr>
                    <w:snapToGrid w:val="0"/>
                    <w:jc w:val="center"/>
                    <w:rPr>
                      <w:rFonts w:hint="default"/>
                      <w:color w:val="auto"/>
                      <w:lang w:val="en-US"/>
                    </w:rPr>
                  </w:pPr>
                  <w:r>
                    <w:rPr>
                      <w:rFonts w:hint="eastAsia"/>
                      <w:color w:val="auto"/>
                      <w:lang w:val="en-US" w:eastAsia="zh-CN"/>
                    </w:rPr>
                    <w:t>其中</w:t>
                  </w:r>
                </w:p>
              </w:tc>
              <w:tc>
                <w:tcPr>
                  <w:tcW w:w="1461"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color w:val="auto"/>
                      <w:lang w:val="en-US" w:eastAsia="zh-CN"/>
                    </w:rPr>
                  </w:pPr>
                  <w:r>
                    <w:rPr>
                      <w:rFonts w:hint="eastAsia"/>
                      <w:color w:val="auto"/>
                      <w:lang w:val="en-US" w:eastAsia="zh-CN"/>
                    </w:rPr>
                    <w:t>20L/人·d（餐饮用水）</w:t>
                  </w:r>
                </w:p>
              </w:tc>
              <w:tc>
                <w:tcPr>
                  <w:tcW w:w="1589" w:type="dxa"/>
                  <w:vMerge w:val="continue"/>
                  <w:tcBorders>
                    <w:left w:val="single" w:color="auto" w:sz="4" w:space="0"/>
                    <w:bottom w:val="single" w:color="auto" w:sz="4" w:space="0"/>
                    <w:right w:val="single" w:color="auto" w:sz="4" w:space="0"/>
                  </w:tcBorders>
                  <w:vAlign w:val="center"/>
                </w:tcPr>
                <w:p>
                  <w:pPr>
                    <w:snapToGrid w:val="0"/>
                    <w:jc w:val="center"/>
                    <w:rPr>
                      <w:rFonts w:hint="eastAsia"/>
                      <w:color w:val="auto"/>
                    </w:rPr>
                  </w:pPr>
                </w:p>
              </w:tc>
              <w:tc>
                <w:tcPr>
                  <w:tcW w:w="1037" w:type="dxa"/>
                  <w:vMerge w:val="continue"/>
                  <w:tcBorders>
                    <w:left w:val="nil"/>
                    <w:bottom w:val="single" w:color="auto" w:sz="4" w:space="0"/>
                    <w:right w:val="single" w:color="auto" w:sz="4" w:space="0"/>
                  </w:tcBorders>
                  <w:vAlign w:val="center"/>
                </w:tcPr>
                <w:p>
                  <w:pPr>
                    <w:snapToGrid w:val="0"/>
                    <w:jc w:val="center"/>
                    <w:rPr>
                      <w:rFonts w:hint="eastAsia"/>
                      <w:color w:val="auto"/>
                    </w:rPr>
                  </w:pPr>
                </w:p>
              </w:tc>
              <w:tc>
                <w:tcPr>
                  <w:tcW w:w="688" w:type="dxa"/>
                  <w:vMerge w:val="continue"/>
                  <w:tcBorders>
                    <w:left w:val="nil"/>
                    <w:bottom w:val="single" w:color="auto" w:sz="4" w:space="0"/>
                    <w:right w:val="single" w:color="auto" w:sz="4" w:space="0"/>
                  </w:tcBorders>
                  <w:vAlign w:val="center"/>
                </w:tcPr>
                <w:p>
                  <w:pPr>
                    <w:snapToGrid w:val="0"/>
                    <w:jc w:val="center"/>
                    <w:rPr>
                      <w:color w:val="auto"/>
                      <w:szCs w:val="21"/>
                    </w:rPr>
                  </w:pPr>
                </w:p>
              </w:tc>
              <w:tc>
                <w:tcPr>
                  <w:tcW w:w="650" w:type="dxa"/>
                  <w:tcBorders>
                    <w:left w:val="nil"/>
                    <w:right w:val="single" w:color="auto" w:sz="4" w:space="0"/>
                  </w:tcBorders>
                  <w:vAlign w:val="center"/>
                </w:tcPr>
                <w:p>
                  <w:pPr>
                    <w:snapToGrid w:val="0"/>
                    <w:jc w:val="center"/>
                    <w:rPr>
                      <w:rFonts w:hint="default" w:eastAsia="宋体"/>
                      <w:color w:val="auto"/>
                      <w:lang w:val="en-US" w:eastAsia="zh-CN"/>
                    </w:rPr>
                  </w:pPr>
                  <w:r>
                    <w:rPr>
                      <w:rFonts w:hint="eastAsia"/>
                      <w:color w:val="auto"/>
                      <w:lang w:val="en-US" w:eastAsia="zh-CN"/>
                    </w:rPr>
                    <w:t>其中</w:t>
                  </w:r>
                </w:p>
              </w:tc>
              <w:tc>
                <w:tcPr>
                  <w:tcW w:w="652" w:type="dxa"/>
                  <w:tcBorders>
                    <w:left w:val="single" w:color="auto" w:sz="4" w:space="0"/>
                    <w:right w:val="single" w:color="auto" w:sz="4" w:space="0"/>
                  </w:tcBorders>
                  <w:vAlign w:val="center"/>
                </w:tcPr>
                <w:p>
                  <w:pPr>
                    <w:snapToGrid w:val="0"/>
                    <w:jc w:val="center"/>
                    <w:rPr>
                      <w:rFonts w:hint="eastAsia"/>
                      <w:color w:val="auto"/>
                      <w:lang w:val="en-US" w:eastAsia="zh-CN"/>
                    </w:rPr>
                  </w:pPr>
                  <w:r>
                    <w:rPr>
                      <w:rFonts w:hint="eastAsia"/>
                      <w:color w:val="auto"/>
                      <w:lang w:val="en-US" w:eastAsia="zh-CN"/>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实验</w:t>
                  </w:r>
                  <w:r>
                    <w:rPr>
                      <w:color w:val="auto"/>
                      <w:szCs w:val="21"/>
                    </w:rPr>
                    <w:t>用水</w:t>
                  </w:r>
                </w:p>
              </w:tc>
              <w:tc>
                <w:tcPr>
                  <w:tcW w:w="2210" w:type="dxa"/>
                  <w:gridSpan w:val="2"/>
                  <w:tcBorders>
                    <w:top w:val="single" w:color="auto" w:sz="4" w:space="0"/>
                    <w:left w:val="nil"/>
                    <w:bottom w:val="single" w:color="auto" w:sz="4" w:space="0"/>
                    <w:right w:val="single" w:color="auto" w:sz="4" w:space="0"/>
                  </w:tcBorders>
                  <w:vAlign w:val="center"/>
                </w:tcPr>
                <w:p>
                  <w:pPr>
                    <w:snapToGrid w:val="0"/>
                    <w:jc w:val="center"/>
                    <w:rPr>
                      <w:rFonts w:hint="eastAsia"/>
                      <w:color w:val="auto"/>
                    </w:rPr>
                  </w:pPr>
                  <w:r>
                    <w:rPr>
                      <w:rFonts w:hint="eastAsia"/>
                      <w:color w:val="auto"/>
                    </w:rPr>
                    <w:t>6L/（次·人）</w:t>
                  </w:r>
                </w:p>
              </w:tc>
              <w:tc>
                <w:tcPr>
                  <w:tcW w:w="158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rPr>
                    <w:t>在校生约1200人，每学年约有10次实验课</w:t>
                  </w:r>
                </w:p>
              </w:tc>
              <w:tc>
                <w:tcPr>
                  <w:tcW w:w="1037"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72</w:t>
                  </w:r>
                </w:p>
              </w:tc>
              <w:tc>
                <w:tcPr>
                  <w:tcW w:w="688"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302" w:type="dxa"/>
                  <w:gridSpan w:val="2"/>
                  <w:tcBorders>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绿化用水</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0.9m</w:t>
                  </w:r>
                  <w:r>
                    <w:rPr>
                      <w:rFonts w:hint="eastAsia"/>
                      <w:color w:val="auto"/>
                      <w:szCs w:val="21"/>
                      <w:vertAlign w:val="superscript"/>
                    </w:rPr>
                    <w:t>3</w:t>
                  </w:r>
                  <w:r>
                    <w:rPr>
                      <w:rFonts w:hint="eastAsia"/>
                      <w:color w:val="auto"/>
                      <w:szCs w:val="21"/>
                    </w:rPr>
                    <w:t>/（m</w:t>
                  </w:r>
                  <w:r>
                    <w:rPr>
                      <w:rFonts w:hint="eastAsia"/>
                      <w:color w:val="auto"/>
                      <w:szCs w:val="21"/>
                      <w:vertAlign w:val="superscript"/>
                    </w:rPr>
                    <w:t>2</w:t>
                  </w:r>
                  <w:r>
                    <w:rPr>
                      <w:rFonts w:hint="eastAsia"/>
                      <w:color w:val="auto"/>
                      <w:szCs w:val="21"/>
                    </w:rPr>
                    <w:t>·a）</w:t>
                  </w:r>
                </w:p>
              </w:tc>
              <w:tc>
                <w:tcPr>
                  <w:tcW w:w="1589"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绿化面积7679.6m</w:t>
                  </w:r>
                  <w:r>
                    <w:rPr>
                      <w:rFonts w:hint="eastAsia"/>
                      <w:color w:val="auto"/>
                      <w:szCs w:val="21"/>
                      <w:vertAlign w:val="superscript"/>
                    </w:rPr>
                    <w:t>2</w:t>
                  </w:r>
                </w:p>
              </w:tc>
              <w:tc>
                <w:tcPr>
                  <w:tcW w:w="1037"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6911.64</w:t>
                  </w:r>
                </w:p>
              </w:tc>
              <w:tc>
                <w:tcPr>
                  <w:tcW w:w="688"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0</w:t>
                  </w:r>
                </w:p>
              </w:tc>
              <w:tc>
                <w:tcPr>
                  <w:tcW w:w="1302" w:type="dxa"/>
                  <w:gridSpan w:val="2"/>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5"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szCs w:val="21"/>
                    </w:rPr>
                    <w:t>合计</w:t>
                  </w:r>
                </w:p>
              </w:tc>
              <w:tc>
                <w:tcPr>
                  <w:tcW w:w="1037"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auto"/>
                      <w:szCs w:val="21"/>
                    </w:rPr>
                  </w:pPr>
                  <w:r>
                    <w:rPr>
                      <w:rFonts w:hint="eastAsia"/>
                      <w:color w:val="auto"/>
                      <w:kern w:val="0"/>
                      <w:szCs w:val="21"/>
                    </w:rPr>
                    <w:t>49883.64</w:t>
                  </w:r>
                </w:p>
              </w:tc>
              <w:tc>
                <w:tcPr>
                  <w:tcW w:w="688"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color w:val="auto"/>
                      <w:szCs w:val="21"/>
                    </w:rPr>
                  </w:pPr>
                  <w:r>
                    <w:rPr>
                      <w:rFonts w:hint="eastAsia"/>
                      <w:color w:val="auto"/>
                      <w:kern w:val="0"/>
                      <w:szCs w:val="21"/>
                    </w:rPr>
                    <w:t>34392</w:t>
                  </w:r>
                </w:p>
              </w:tc>
            </w:tr>
          </w:tbl>
          <w:p>
            <w:pPr>
              <w:pStyle w:val="2"/>
              <w:spacing w:line="240" w:lineRule="auto"/>
              <w:ind w:firstLine="482"/>
              <w:jc w:val="center"/>
              <w:rPr>
                <w:b/>
                <w:bCs/>
                <w:color w:val="auto"/>
                <w:lang w:val="en-US" w:eastAsia="zh-CN"/>
              </w:rPr>
            </w:pPr>
            <w:r>
              <w:rPr>
                <w:b/>
                <w:bCs/>
                <w:color w:val="auto"/>
                <w:lang w:val="en-US" w:eastAsia="zh-CN"/>
              </w:rPr>
              <w:pict>
                <v:shape id="_x0000_s1026" o:spid="_x0000_s1026" o:spt="75" type="#_x0000_t75" style="position:absolute;left:0pt;margin-top:0pt;height:238.35pt;width:387pt;mso-position-horizontal:center;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f"/>
                  <w10:wrap type="square"/>
                </v:shape>
                <o:OLEObject Type="Embed" ProgID="Visio.Drawing.11" ShapeID="_x0000_s1026" DrawAspect="Content" ObjectID="_1468075725" r:id="rId14">
                  <o:LockedField>false</o:LockedField>
                </o:OLEObject>
              </w:pict>
            </w:r>
            <w:r>
              <w:rPr>
                <w:rFonts w:hint="eastAsia"/>
                <w:b/>
                <w:bCs/>
                <w:color w:val="auto"/>
                <w:lang w:val="en-US" w:eastAsia="zh-CN"/>
              </w:rPr>
              <w:t>图2-1  水平衡图 单位 t/a</w:t>
            </w:r>
          </w:p>
          <w:p>
            <w:pPr>
              <w:pStyle w:val="2"/>
              <w:ind w:firstLine="0" w:firstLineChars="0"/>
              <w:rPr>
                <w:rStyle w:val="31"/>
                <w:color w:val="auto"/>
                <w:lang w:val="en-US" w:eastAsia="zh-CN"/>
              </w:rPr>
            </w:pPr>
            <w:r>
              <w:rPr>
                <w:rStyle w:val="31"/>
                <w:rFonts w:hint="eastAsia"/>
                <w:color w:val="auto"/>
                <w:lang w:val="en-US" w:eastAsia="zh-CN"/>
              </w:rPr>
              <w:t>4、分校办学规模</w:t>
            </w:r>
          </w:p>
          <w:p>
            <w:pPr>
              <w:pStyle w:val="2"/>
              <w:ind w:firstLine="480"/>
              <w:rPr>
                <w:color w:val="auto"/>
                <w:lang w:val="en-US" w:eastAsia="zh-CN"/>
              </w:rPr>
            </w:pPr>
            <w:r>
              <w:rPr>
                <w:rFonts w:hint="eastAsia"/>
                <w:color w:val="auto"/>
                <w:lang w:val="en-US" w:eastAsia="zh-CN"/>
              </w:rPr>
              <w:t>规划学生人数24班*50人=1200人，教职工约100人。设校长室、副校长室、党团办，校办室、教务处、政教处、财务室、总务处教学管理部门。</w:t>
            </w:r>
          </w:p>
          <w:p>
            <w:pPr>
              <w:pStyle w:val="4"/>
              <w:rPr>
                <w:color w:val="auto"/>
                <w:kern w:val="2"/>
                <w:szCs w:val="24"/>
                <w:lang w:val="en-US" w:eastAsia="zh-CN"/>
              </w:rPr>
            </w:pPr>
            <w:r>
              <w:rPr>
                <w:rFonts w:hint="eastAsia"/>
                <w:color w:val="auto"/>
                <w:kern w:val="2"/>
                <w:szCs w:val="24"/>
                <w:lang w:val="en-US" w:eastAsia="zh-CN"/>
              </w:rPr>
              <w:t>5、平面布局合理性分析</w:t>
            </w:r>
          </w:p>
          <w:p>
            <w:pPr>
              <w:pStyle w:val="2"/>
              <w:ind w:firstLine="480"/>
              <w:rPr>
                <w:color w:val="auto"/>
                <w:lang w:val="en-US" w:eastAsia="zh-CN"/>
              </w:rPr>
            </w:pPr>
            <w:r>
              <w:rPr>
                <w:rFonts w:hint="eastAsia"/>
                <w:color w:val="auto"/>
                <w:lang w:val="en-US" w:eastAsia="zh-CN"/>
              </w:rPr>
              <w:t>根据</w:t>
            </w:r>
            <w:r>
              <w:rPr>
                <w:rFonts w:hint="eastAsia"/>
                <w:color w:val="auto"/>
                <w:lang w:val="zh-CN" w:eastAsia="zh-CN"/>
              </w:rPr>
              <w:t>《昱城中学高新校区规划方案终稿》</w:t>
            </w:r>
            <w:r>
              <w:rPr>
                <w:color w:val="auto"/>
                <w:lang w:val="en-US" w:eastAsia="zh-CN"/>
              </w:rPr>
              <w:t>各</w:t>
            </w:r>
            <w:r>
              <w:rPr>
                <w:rFonts w:hint="eastAsia"/>
                <w:color w:val="auto"/>
                <w:lang w:val="en-US" w:eastAsia="zh-CN"/>
              </w:rPr>
              <w:t>区域</w:t>
            </w:r>
            <w:r>
              <w:rPr>
                <w:color w:val="auto"/>
                <w:lang w:val="en-US" w:eastAsia="zh-CN"/>
              </w:rPr>
              <w:t>的平面布局（详见附图）如下</w:t>
            </w:r>
            <w:r>
              <w:rPr>
                <w:rFonts w:hint="eastAsia"/>
                <w:color w:val="auto"/>
                <w:lang w:val="en-US" w:eastAsia="zh-CN"/>
              </w:rPr>
              <w:t>：</w:t>
            </w:r>
          </w:p>
          <w:p>
            <w:pPr>
              <w:pStyle w:val="2"/>
              <w:ind w:firstLine="480"/>
              <w:rPr>
                <w:color w:val="auto"/>
                <w:lang w:val="en-US" w:eastAsia="zh-CN"/>
              </w:rPr>
            </w:pPr>
            <w:r>
              <w:rPr>
                <w:rFonts w:hint="eastAsia"/>
                <w:color w:val="auto"/>
                <w:lang w:val="en-US" w:eastAsia="zh-CN"/>
              </w:rPr>
              <w:t>校园分东、西两侧整体布局，校园东侧为教学办公、生活等功能区，其中靠南布置教学综合楼、行政办公楼等，可满足教学办公的需求，靠北布置学生公寓楼、教工公寓楼、食堂会堂综合楼等，可满足师生食宿的生活需求。校园西侧为运动场及附属设施区，各功能区分工明确。</w:t>
            </w:r>
          </w:p>
          <w:p>
            <w:pPr>
              <w:pStyle w:val="2"/>
              <w:ind w:firstLine="480"/>
              <w:rPr>
                <w:color w:val="auto"/>
                <w:lang w:val="en-US" w:eastAsia="zh-CN"/>
              </w:rPr>
            </w:pPr>
            <w:r>
              <w:rPr>
                <w:rFonts w:hint="eastAsia"/>
                <w:color w:val="auto"/>
                <w:lang w:val="en-US" w:eastAsia="zh-CN"/>
              </w:rPr>
              <w:t>教学办公、生活等功能分区布置在校园东侧，尽量远离校外西北侧工业企业，可减少校外工业企业废气、噪声的排放对校内学生、教职工的影响。</w:t>
            </w:r>
          </w:p>
          <w:p>
            <w:pPr>
              <w:pStyle w:val="2"/>
              <w:ind w:firstLine="480"/>
              <w:rPr>
                <w:color w:val="auto"/>
                <w:lang w:val="en-US" w:eastAsia="zh-CN"/>
              </w:rPr>
            </w:pPr>
            <w:r>
              <w:rPr>
                <w:rFonts w:hint="eastAsia"/>
                <w:color w:val="auto"/>
                <w:lang w:val="en-US" w:eastAsia="zh-CN"/>
              </w:rPr>
              <w:t>综上所述，昱城中学</w:t>
            </w:r>
            <w:r>
              <w:rPr>
                <w:rFonts w:hint="eastAsia"/>
                <w:color w:val="auto"/>
                <w:lang w:val="zh-CN" w:eastAsia="zh-CN"/>
              </w:rPr>
              <w:t>高新校区平面</w:t>
            </w:r>
            <w:r>
              <w:rPr>
                <w:rFonts w:hint="eastAsia"/>
                <w:color w:val="auto"/>
                <w:lang w:val="en-US" w:eastAsia="zh-CN"/>
              </w:rPr>
              <w:t>功能区分工明确合理，并综合考虑通过平面布置减少了外界对本校的环境影响，故</w:t>
            </w:r>
            <w:r>
              <w:rPr>
                <w:rFonts w:hint="eastAsia"/>
                <w:color w:val="auto"/>
                <w:kern w:val="2"/>
                <w:szCs w:val="24"/>
                <w:lang w:val="en-US" w:eastAsia="zh-CN"/>
              </w:rPr>
              <w:t>平面布局合理可行。</w:t>
            </w:r>
          </w:p>
          <w:p>
            <w:pPr>
              <w:pStyle w:val="2"/>
              <w:ind w:firstLine="0" w:firstLineChars="0"/>
              <w:rPr>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lang w:val="en-US" w:eastAsia="zh-CN"/>
              </w:rPr>
            </w:pPr>
            <w:r>
              <w:rPr>
                <w:rFonts w:hint="eastAsia" w:cs="宋体"/>
                <w:sz w:val="21"/>
                <w:szCs w:val="21"/>
                <w:lang w:val="en-US" w:eastAsia="zh-CN"/>
              </w:rPr>
              <w:t>工艺流程和产排污环节</w:t>
            </w:r>
          </w:p>
        </w:tc>
        <w:tc>
          <w:tcPr>
            <w:tcW w:w="8161" w:type="dxa"/>
          </w:tcPr>
          <w:p>
            <w:pPr>
              <w:numPr>
                <w:ilvl w:val="0"/>
                <w:numId w:val="0"/>
              </w:numPr>
              <w:spacing w:line="360" w:lineRule="auto"/>
              <w:jc w:val="both"/>
              <w:rPr>
                <w:rFonts w:hint="eastAsia"/>
                <w:b/>
                <w:bCs/>
                <w:sz w:val="32"/>
                <w:szCs w:val="32"/>
              </w:rPr>
            </w:pPr>
            <w:r>
              <w:rPr>
                <w:rFonts w:hint="eastAsia"/>
                <w:b/>
                <w:bCs/>
                <w:sz w:val="32"/>
                <w:szCs w:val="32"/>
                <w:lang w:val="en-US" w:eastAsia="zh-CN"/>
              </w:rPr>
              <w:t>1、</w:t>
            </w:r>
            <w:r>
              <w:rPr>
                <w:rFonts w:hint="eastAsia"/>
                <w:b/>
                <w:bCs/>
                <w:sz w:val="32"/>
                <w:szCs w:val="32"/>
              </w:rPr>
              <w:t>运营期工艺流程</w:t>
            </w:r>
          </w:p>
          <w:p>
            <w:pPr>
              <w:pStyle w:val="2"/>
              <w:ind w:firstLine="480"/>
              <w:rPr>
                <w:sz w:val="21"/>
                <w:szCs w:val="21"/>
                <w:lang w:val="en-US" w:eastAsia="zh-CN"/>
              </w:rPr>
            </w:pPr>
            <w:r>
              <w:rPr>
                <w:sz w:val="21"/>
                <w:szCs w:val="21"/>
                <w:lang w:val="en-US" w:eastAsia="zh-CN"/>
              </w:rPr>
              <w:pict>
                <v:shape id="_x0000_s1028" o:spid="_x0000_s1028" o:spt="75" type="#_x0000_t75" style="position:absolute;left:0pt;margin-left:-1.55pt;margin-top:54.55pt;height:182.35pt;width:400.35pt;mso-wrap-distance-bottom:0pt;mso-wrap-distance-left:9pt;mso-wrap-distance-right:9pt;mso-wrap-distance-top:0pt;z-index:251659264;mso-width-relative:page;mso-height-relative:page;" o:ole="t" filled="f" o:preferrelative="t" stroked="f" coordsize="21600,21600">
                  <v:path/>
                  <v:fill on="f" focussize="0,0"/>
                  <v:stroke on="f"/>
                  <v:imagedata r:id="rId17" o:title=""/>
                  <o:lock v:ext="edit" aspectratio="f"/>
                  <w10:wrap type="square"/>
                </v:shape>
                <o:OLEObject Type="Embed" ProgID="Visio.Drawing.11" ShapeID="_x0000_s1028" DrawAspect="Content" ObjectID="_1468075726" r:id="rId16">
                  <o:LockedField>false</o:LockedField>
                </o:OLEObject>
              </w:pict>
            </w:r>
            <w:r>
              <w:rPr>
                <w:rFonts w:hint="eastAsia"/>
                <w:sz w:val="21"/>
                <w:szCs w:val="21"/>
                <w:lang w:val="en-US" w:eastAsia="zh-CN"/>
              </w:rPr>
              <w:t>项目建成投入使用后，主要污染类型有废水、固废、噪声、废气。运营期工艺流程及产污环节见下图</w:t>
            </w:r>
          </w:p>
          <w:p>
            <w:pPr>
              <w:pStyle w:val="2"/>
              <w:keepNext w:val="0"/>
              <w:keepLines w:val="0"/>
              <w:pageBreakBefore w:val="0"/>
              <w:widowControl/>
              <w:kinsoku/>
              <w:wordWrap/>
              <w:overflowPunct/>
              <w:topLinePunct w:val="0"/>
              <w:autoSpaceDE/>
              <w:autoSpaceDN/>
              <w:bidi w:val="0"/>
              <w:adjustRightInd/>
              <w:snapToGrid/>
              <w:ind w:firstLine="482"/>
              <w:jc w:val="center"/>
              <w:textAlignment w:val="auto"/>
              <w:rPr>
                <w:b/>
                <w:bCs/>
                <w:lang w:val="en-US" w:eastAsia="zh-CN"/>
              </w:rPr>
            </w:pPr>
            <w:r>
              <w:rPr>
                <w:rFonts w:hint="eastAsia"/>
                <w:b/>
                <w:bCs/>
                <w:sz w:val="21"/>
                <w:szCs w:val="21"/>
                <w:lang w:val="en-US" w:eastAsia="zh-CN"/>
              </w:rPr>
              <w:t>图2-2  运营期工</w:t>
            </w:r>
            <w:r>
              <w:rPr>
                <w:rFonts w:hint="eastAsia"/>
                <w:b/>
                <w:bCs/>
                <w:lang w:val="en-US" w:eastAsia="zh-CN"/>
              </w:rPr>
              <w:t>艺流程及产污环节示意图</w:t>
            </w:r>
          </w:p>
          <w:p>
            <w:pPr>
              <w:pStyle w:val="2"/>
              <w:keepNext w:val="0"/>
              <w:keepLines w:val="0"/>
              <w:pageBreakBefore w:val="0"/>
              <w:widowControl/>
              <w:kinsoku/>
              <w:wordWrap/>
              <w:overflowPunct/>
              <w:topLinePunct w:val="0"/>
              <w:autoSpaceDE/>
              <w:autoSpaceDN/>
              <w:bidi w:val="0"/>
              <w:adjustRightInd/>
              <w:snapToGrid/>
              <w:ind w:firstLine="480"/>
              <w:textAlignment w:val="auto"/>
              <w:rPr>
                <w:lang w:val="en-US" w:eastAsia="zh-CN"/>
              </w:rPr>
            </w:pPr>
            <w:r>
              <w:rPr>
                <w:rFonts w:hint="eastAsia"/>
                <w:lang w:val="en-US" w:eastAsia="zh-CN"/>
              </w:rPr>
              <w:t>项目实验室进行初中教学实验，操作流程如下</w:t>
            </w:r>
          </w:p>
          <w:p>
            <w:pPr>
              <w:pStyle w:val="2"/>
              <w:ind w:firstLine="0" w:firstLineChars="0"/>
              <w:rPr>
                <w:lang w:val="en-US" w:eastAsia="zh-CN"/>
              </w:rPr>
            </w:pPr>
            <w:r>
              <w:rPr>
                <w:lang w:val="en-US" w:eastAsia="zh-CN"/>
              </w:rPr>
              <w:pict>
                <v:shape id="_x0000_s1029" o:spid="_x0000_s1029" o:spt="75" type="#_x0000_t75" style="position:absolute;left:0pt;margin-top:8.95pt;height:102pt;width:270.75pt;mso-position-horizontal:center;mso-wrap-distance-bottom:0pt;mso-wrap-distance-left:9pt;mso-wrap-distance-right:9pt;mso-wrap-distance-top:0pt;z-index:251659264;mso-width-relative:page;mso-height-relative:page;" o:ole="t" filled="f" o:preferrelative="t" stroked="f" coordsize="21600,21600">
                  <v:path/>
                  <v:fill on="f" focussize="0,0"/>
                  <v:stroke on="f"/>
                  <v:imagedata r:id="rId19" o:title=""/>
                  <o:lock v:ext="edit" aspectratio="f"/>
                  <w10:wrap type="square"/>
                </v:shape>
                <o:OLEObject Type="Embed" ProgID="Visio.Drawing.11" ShapeID="_x0000_s1029" DrawAspect="Content" ObjectID="_1468075727" r:id="rId18">
                  <o:LockedField>false</o:LockedField>
                </o:OLEObject>
              </w:pict>
            </w:r>
          </w:p>
          <w:p>
            <w:pPr>
              <w:pStyle w:val="2"/>
              <w:ind w:firstLine="0" w:firstLineChars="0"/>
              <w:rPr>
                <w:lang w:val="en-US" w:eastAsia="zh-CN"/>
              </w:rPr>
            </w:pPr>
          </w:p>
          <w:p>
            <w:pPr>
              <w:pStyle w:val="2"/>
              <w:ind w:firstLine="0" w:firstLineChars="0"/>
              <w:rPr>
                <w:lang w:val="en-US" w:eastAsia="zh-CN"/>
              </w:rPr>
            </w:pPr>
          </w:p>
          <w:p>
            <w:pPr>
              <w:pStyle w:val="2"/>
              <w:ind w:firstLine="0" w:firstLineChars="0"/>
              <w:rPr>
                <w:lang w:val="en-US" w:eastAsia="zh-CN"/>
              </w:rPr>
            </w:pPr>
          </w:p>
          <w:p>
            <w:pPr>
              <w:pStyle w:val="2"/>
              <w:ind w:firstLine="0" w:firstLineChars="0"/>
              <w:rPr>
                <w:szCs w:val="24"/>
                <w:lang w:val="en-US" w:eastAsia="zh-CN"/>
              </w:rPr>
            </w:pPr>
          </w:p>
          <w:p>
            <w:pPr>
              <w:pStyle w:val="2"/>
              <w:spacing w:line="240" w:lineRule="auto"/>
              <w:ind w:firstLine="0" w:firstLineChars="0"/>
              <w:rPr>
                <w:szCs w:val="24"/>
                <w:lang w:val="en-US" w:eastAsia="zh-CN"/>
              </w:rPr>
            </w:pPr>
          </w:p>
          <w:p>
            <w:pPr>
              <w:snapToGrid w:val="0"/>
              <w:spacing w:line="360" w:lineRule="auto"/>
              <w:jc w:val="center"/>
              <w:outlineLvl w:val="1"/>
              <w:rPr>
                <w:b/>
                <w:sz w:val="24"/>
              </w:rPr>
            </w:pPr>
            <w:r>
              <w:rPr>
                <w:b/>
                <w:sz w:val="24"/>
              </w:rPr>
              <w:t>图</w:t>
            </w:r>
            <w:r>
              <w:rPr>
                <w:rFonts w:hint="eastAsia"/>
                <w:b/>
                <w:sz w:val="24"/>
              </w:rPr>
              <w:t>2</w:t>
            </w:r>
            <w:r>
              <w:rPr>
                <w:b/>
                <w:sz w:val="24"/>
              </w:rPr>
              <w:t>-</w:t>
            </w:r>
            <w:r>
              <w:rPr>
                <w:rFonts w:hint="eastAsia"/>
                <w:b/>
                <w:sz w:val="24"/>
              </w:rPr>
              <w:t>3</w:t>
            </w:r>
            <w:r>
              <w:rPr>
                <w:b/>
                <w:sz w:val="24"/>
              </w:rPr>
              <w:t xml:space="preserve">  营运期</w:t>
            </w:r>
            <w:r>
              <w:rPr>
                <w:rFonts w:hint="eastAsia"/>
                <w:b/>
                <w:sz w:val="24"/>
              </w:rPr>
              <w:t>实验室工艺</w:t>
            </w:r>
            <w:r>
              <w:rPr>
                <w:b/>
                <w:sz w:val="24"/>
              </w:rPr>
              <w:t>流程及产污节点</w:t>
            </w:r>
          </w:p>
          <w:p>
            <w:pPr>
              <w:pStyle w:val="2"/>
              <w:keepNext w:val="0"/>
              <w:keepLines w:val="0"/>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（1）实验准备：在实验开始前进行实验材料的制备。</w:t>
            </w:r>
          </w:p>
          <w:p>
            <w:pPr>
              <w:pStyle w:val="2"/>
              <w:keepNext w:val="0"/>
              <w:keepLines w:val="0"/>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（2）实验过程：根据课本要求在教师指导下进行实验，并记录实验结果。</w:t>
            </w:r>
          </w:p>
          <w:p>
            <w:pPr>
              <w:pStyle w:val="2"/>
              <w:keepNext w:val="0"/>
              <w:keepLines w:val="0"/>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（3）编写实验报告：根据实验过程中记录的实验结果，按要求编写和提交实验报告。</w:t>
            </w:r>
          </w:p>
          <w:p>
            <w:pPr>
              <w:pStyle w:val="2"/>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实验准备与实验过程中会产生废水、固</w:t>
            </w:r>
            <w:r>
              <w:rPr>
                <w:rFonts w:hint="eastAsia"/>
                <w:color w:val="auto"/>
                <w:lang w:val="en-US" w:eastAsia="zh-CN"/>
              </w:rPr>
              <w:t>废、废气（含氯化氢、硫酸雾）</w:t>
            </w:r>
            <w:r>
              <w:rPr>
                <w:rFonts w:hint="eastAsia"/>
                <w:lang w:val="en-US"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p>
          <w:p>
            <w:pPr>
              <w:pStyle w:val="2"/>
              <w:keepNext w:val="0"/>
              <w:keepLines w:val="0"/>
              <w:pageBreakBefore w:val="0"/>
              <w:kinsoku/>
              <w:wordWrap/>
              <w:overflowPunct/>
              <w:topLinePunct w:val="0"/>
              <w:autoSpaceDE/>
              <w:autoSpaceDN/>
              <w:bidi w:val="0"/>
              <w:adjustRightInd/>
              <w:snapToGrid/>
              <w:spacing w:line="360" w:lineRule="auto"/>
              <w:textAlignment w:val="auto"/>
              <w:rPr>
                <w:lang w:val="en-US" w:eastAsia="zh-CN"/>
              </w:rPr>
            </w:pPr>
          </w:p>
          <w:p>
            <w:pPr>
              <w:pageBreakBefore w:val="0"/>
              <w:numPr>
                <w:ilvl w:val="0"/>
                <w:numId w:val="4"/>
              </w:numPr>
              <w:kinsoku/>
              <w:wordWrap/>
              <w:overflowPunct/>
              <w:topLinePunct w:val="0"/>
              <w:autoSpaceDE/>
              <w:autoSpaceDN/>
              <w:bidi w:val="0"/>
              <w:adjustRightInd/>
              <w:snapToGrid/>
              <w:spacing w:line="360" w:lineRule="auto"/>
              <w:jc w:val="both"/>
              <w:textAlignment w:val="auto"/>
              <w:rPr>
                <w:b/>
                <w:bCs/>
                <w:sz w:val="32"/>
                <w:szCs w:val="32"/>
              </w:rPr>
            </w:pPr>
            <w:r>
              <w:rPr>
                <w:rFonts w:hint="eastAsia"/>
                <w:b/>
                <w:bCs/>
                <w:sz w:val="32"/>
                <w:szCs w:val="32"/>
              </w:rPr>
              <w:t>主要污染工序</w:t>
            </w:r>
          </w:p>
          <w:p>
            <w:pPr>
              <w:pStyle w:val="4"/>
              <w:pageBreakBefore w:val="0"/>
              <w:kinsoku/>
              <w:wordWrap/>
              <w:overflowPunct/>
              <w:topLinePunct w:val="0"/>
              <w:autoSpaceDE/>
              <w:autoSpaceDN/>
              <w:bidi w:val="0"/>
              <w:adjustRightInd/>
              <w:snapToGrid/>
              <w:textAlignment w:val="auto"/>
              <w:rPr>
                <w:kern w:val="2"/>
                <w:szCs w:val="24"/>
                <w:lang w:val="en-US" w:eastAsia="zh-CN"/>
              </w:rPr>
            </w:pPr>
            <w:r>
              <w:rPr>
                <w:kern w:val="2"/>
                <w:szCs w:val="24"/>
                <w:lang w:val="en-US" w:eastAsia="zh-CN"/>
              </w:rPr>
              <w:t>2.</w:t>
            </w:r>
            <w:r>
              <w:rPr>
                <w:rFonts w:hint="eastAsia"/>
                <w:kern w:val="2"/>
                <w:szCs w:val="24"/>
                <w:lang w:val="en-US" w:eastAsia="zh-CN"/>
              </w:rPr>
              <w:t>1</w:t>
            </w:r>
            <w:r>
              <w:rPr>
                <w:kern w:val="2"/>
                <w:szCs w:val="24"/>
                <w:lang w:val="en-US" w:eastAsia="zh-CN"/>
              </w:rPr>
              <w:t>营运期主要污染工序</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（1）废气</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主要为餐饮油烟、天然气燃烧性废气、</w:t>
            </w:r>
            <w:r>
              <w:rPr>
                <w:lang w:val="en-US" w:eastAsia="zh-CN"/>
              </w:rPr>
              <w:t>地下</w:t>
            </w:r>
            <w:r>
              <w:rPr>
                <w:rFonts w:hint="eastAsia"/>
                <w:lang w:val="en-US" w:eastAsia="zh-CN"/>
              </w:rPr>
              <w:t>停车场</w:t>
            </w:r>
            <w:r>
              <w:rPr>
                <w:lang w:val="en-US" w:eastAsia="zh-CN"/>
              </w:rPr>
              <w:t>及地面停车场</w:t>
            </w:r>
            <w:r>
              <w:rPr>
                <w:rFonts w:hint="eastAsia"/>
                <w:lang w:val="en-US" w:eastAsia="zh-CN"/>
              </w:rPr>
              <w:t>汽车尾</w:t>
            </w:r>
            <w:r>
              <w:rPr>
                <w:lang w:val="en-US" w:eastAsia="zh-CN"/>
              </w:rPr>
              <w:t>气</w:t>
            </w:r>
            <w:r>
              <w:rPr>
                <w:rFonts w:hint="eastAsia"/>
                <w:lang w:val="en-US" w:eastAsia="zh-CN"/>
              </w:rPr>
              <w:t>、教学实验室产生的实</w:t>
            </w:r>
            <w:r>
              <w:rPr>
                <w:rFonts w:hint="eastAsia"/>
                <w:color w:val="auto"/>
                <w:lang w:val="en-US" w:eastAsia="zh-CN"/>
              </w:rPr>
              <w:t>验室废气（含氯化氢、硫酸雾）。</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（2）</w:t>
            </w:r>
            <w:r>
              <w:rPr>
                <w:lang w:val="en-US" w:eastAsia="zh-CN"/>
              </w:rPr>
              <w:t>废水</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lang w:val="en-US" w:eastAsia="zh-CN"/>
              </w:rPr>
              <w:t>主要为</w:t>
            </w:r>
            <w:r>
              <w:rPr>
                <w:rFonts w:hint="eastAsia"/>
                <w:lang w:val="en-US" w:eastAsia="zh-CN"/>
              </w:rPr>
              <w:t>少量实验废水和师生</w:t>
            </w:r>
            <w:r>
              <w:rPr>
                <w:lang w:val="en-US" w:eastAsia="zh-CN"/>
              </w:rPr>
              <w:t>生活废水</w:t>
            </w:r>
            <w:r>
              <w:rPr>
                <w:rFonts w:hint="eastAsia"/>
                <w:lang w:val="en-US" w:eastAsia="zh-CN"/>
              </w:rPr>
              <w:t>、餐饮废水</w:t>
            </w:r>
            <w:r>
              <w:rPr>
                <w:lang w:val="en-US" w:eastAsia="zh-CN"/>
              </w:rPr>
              <w:t>。</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（3）</w:t>
            </w:r>
            <w:r>
              <w:rPr>
                <w:lang w:val="en-US" w:eastAsia="zh-CN"/>
              </w:rPr>
              <w:t>噪声</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lang w:val="en-US" w:eastAsia="zh-CN"/>
              </w:rPr>
              <w:t>主要为</w:t>
            </w:r>
            <w:r>
              <w:rPr>
                <w:rFonts w:hint="eastAsia"/>
                <w:lang w:val="en-US" w:eastAsia="zh-CN"/>
              </w:rPr>
              <w:t>地下车库风机噪声、汽车进出学校产生的交通噪声</w:t>
            </w:r>
            <w:r>
              <w:rPr>
                <w:lang w:val="en-US" w:eastAsia="zh-CN"/>
              </w:rPr>
              <w:t>。</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rFonts w:hint="eastAsia"/>
                <w:lang w:val="en-US" w:eastAsia="zh-CN"/>
              </w:rPr>
              <w:t>（4）</w:t>
            </w:r>
            <w:r>
              <w:rPr>
                <w:lang w:val="en-US" w:eastAsia="zh-CN"/>
              </w:rPr>
              <w:t>固废</w:t>
            </w:r>
          </w:p>
          <w:p>
            <w:pPr>
              <w:pStyle w:val="2"/>
              <w:pageBreakBefore w:val="0"/>
              <w:kinsoku/>
              <w:wordWrap/>
              <w:overflowPunct/>
              <w:topLinePunct w:val="0"/>
              <w:autoSpaceDE/>
              <w:autoSpaceDN/>
              <w:bidi w:val="0"/>
              <w:adjustRightInd/>
              <w:snapToGrid/>
              <w:spacing w:line="360" w:lineRule="auto"/>
              <w:ind w:firstLine="480"/>
              <w:textAlignment w:val="auto"/>
              <w:rPr>
                <w:lang w:val="en-US" w:eastAsia="zh-CN"/>
              </w:rPr>
            </w:pPr>
            <w:r>
              <w:rPr>
                <w:lang w:val="en-US" w:eastAsia="zh-CN"/>
              </w:rPr>
              <w:t>主要为</w:t>
            </w:r>
            <w:r>
              <w:rPr>
                <w:szCs w:val="21"/>
                <w:lang w:val="en-US" w:eastAsia="zh-CN"/>
              </w:rPr>
              <w:t>沾染危化品的废包装物及碎玻璃</w:t>
            </w:r>
            <w:r>
              <w:rPr>
                <w:rFonts w:hint="eastAsia"/>
                <w:szCs w:val="21"/>
                <w:lang w:val="en-US" w:eastAsia="zh-CN"/>
              </w:rPr>
              <w:t>、过期失效的化学试剂、未沾染</w:t>
            </w:r>
            <w:r>
              <w:rPr>
                <w:szCs w:val="21"/>
                <w:lang w:val="en-US" w:eastAsia="zh-CN"/>
              </w:rPr>
              <w:t>危化品的废包装物及碎玻璃</w:t>
            </w:r>
            <w:r>
              <w:rPr>
                <w:rFonts w:hint="eastAsia"/>
                <w:lang w:val="en-US" w:eastAsia="zh-CN"/>
              </w:rPr>
              <w:t>和</w:t>
            </w:r>
            <w:r>
              <w:rPr>
                <w:lang w:val="en-US" w:eastAsia="zh-CN"/>
              </w:rPr>
              <w:t>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9"/>
              <w:adjustRightInd w:val="0"/>
              <w:snapToGrid w:val="0"/>
              <w:spacing w:before="0" w:beforeAutospacing="0" w:after="0" w:afterAutospacing="0"/>
              <w:jc w:val="center"/>
              <w:rPr>
                <w:rFonts w:cs="宋体"/>
                <w:sz w:val="21"/>
                <w:szCs w:val="21"/>
                <w:lang w:val="en-US" w:eastAsia="zh-CN"/>
              </w:rPr>
            </w:pPr>
            <w:r>
              <w:rPr>
                <w:rFonts w:hint="eastAsia" w:cs="宋体"/>
                <w:bCs/>
                <w:kern w:val="2"/>
                <w:sz w:val="21"/>
                <w:szCs w:val="21"/>
                <w:lang w:val="en-US" w:eastAsia="zh-CN"/>
              </w:rPr>
              <w:t>与项目有关的原有环境污染问题</w:t>
            </w:r>
          </w:p>
        </w:tc>
        <w:tc>
          <w:tcPr>
            <w:tcW w:w="8161" w:type="dxa"/>
          </w:tcPr>
          <w:p>
            <w:pPr>
              <w:pStyle w:val="2"/>
              <w:spacing w:line="360" w:lineRule="auto"/>
              <w:ind w:firstLine="480"/>
              <w:rPr>
                <w:rFonts w:hint="eastAsia"/>
                <w:lang w:val="en-US" w:eastAsia="zh-CN"/>
              </w:rPr>
            </w:pPr>
            <w:r>
              <w:rPr>
                <w:rFonts w:hint="eastAsia"/>
                <w:lang w:val="en-US" w:eastAsia="zh-CN"/>
              </w:rPr>
              <w:t>本项目为新建项目，现场地为空地，无原有污染。</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lang w:val="en-US" w:eastAsia="zh-CN"/>
              </w:rPr>
            </w:pPr>
          </w:p>
        </w:tc>
      </w:tr>
    </w:tbl>
    <w:p>
      <w:pPr>
        <w:pStyle w:val="19"/>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
      </w:pPr>
      <w:bookmarkStart w:id="11" w:name="_Toc16775"/>
      <w:r>
        <w:rPr>
          <w:rFonts w:hint="eastAsia"/>
        </w:rPr>
        <w:t>三、区域环境质量现状、环境保护目标及评价标准</w:t>
      </w:r>
      <w:bookmarkEnd w:id="11"/>
    </w:p>
    <w:tbl>
      <w:tblPr>
        <w:tblStyle w:val="21"/>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spacing w:line="360" w:lineRule="auto"/>
              <w:rPr>
                <w:b/>
                <w:sz w:val="28"/>
                <w:szCs w:val="28"/>
              </w:rPr>
            </w:pPr>
            <w:r>
              <w:rPr>
                <w:b/>
                <w:sz w:val="28"/>
                <w:szCs w:val="28"/>
              </w:rPr>
              <w:t>1、环境空气质量现状</w:t>
            </w:r>
          </w:p>
          <w:p>
            <w:pPr>
              <w:spacing w:line="360" w:lineRule="auto"/>
              <w:ind w:firstLine="480" w:firstLineChars="200"/>
              <w:rPr>
                <w:sz w:val="24"/>
              </w:rPr>
            </w:pPr>
            <w:r>
              <w:rPr>
                <w:sz w:val="24"/>
              </w:rPr>
              <w:t>空气质量达标区判定</w:t>
            </w:r>
          </w:p>
          <w:p>
            <w:pPr>
              <w:spacing w:line="360" w:lineRule="auto"/>
              <w:ind w:firstLine="480" w:firstLineChars="200"/>
              <w:rPr>
                <w:sz w:val="24"/>
              </w:rPr>
            </w:pPr>
            <w:r>
              <w:rPr>
                <w:sz w:val="24"/>
              </w:rPr>
              <w:t>本项目评价基准年为20</w:t>
            </w:r>
            <w:r>
              <w:rPr>
                <w:rFonts w:hint="eastAsia"/>
                <w:sz w:val="24"/>
              </w:rPr>
              <w:t>20</w:t>
            </w:r>
            <w:r>
              <w:rPr>
                <w:sz w:val="24"/>
              </w:rPr>
              <w:t>年，基本污染物环境质量现状评价引用《20</w:t>
            </w:r>
            <w:r>
              <w:rPr>
                <w:rFonts w:hint="eastAsia"/>
                <w:sz w:val="24"/>
              </w:rPr>
              <w:t>20</w:t>
            </w:r>
            <w:r>
              <w:rPr>
                <w:sz w:val="24"/>
              </w:rPr>
              <w:t>年黄山市环境状况公报》中的环境质量现状数据，详见表3-1。</w:t>
            </w:r>
          </w:p>
          <w:p>
            <w:pPr>
              <w:jc w:val="center"/>
              <w:rPr>
                <w:b/>
                <w:sz w:val="24"/>
                <w:vertAlign w:val="superscript"/>
              </w:rPr>
            </w:pPr>
            <w:r>
              <w:rPr>
                <w:b/>
                <w:sz w:val="24"/>
              </w:rPr>
              <w:t>表3-1  区域环境空气质量达标分析表（20</w:t>
            </w:r>
            <w:r>
              <w:rPr>
                <w:rFonts w:hint="eastAsia"/>
                <w:b/>
                <w:sz w:val="24"/>
              </w:rPr>
              <w:t>20</w:t>
            </w:r>
            <w:r>
              <w:rPr>
                <w:b/>
                <w:sz w:val="24"/>
              </w:rPr>
              <w:t>年） 浓度单位：ug/m</w:t>
            </w:r>
            <w:r>
              <w:rPr>
                <w:b/>
                <w:sz w:val="24"/>
                <w:vertAlign w:val="superscript"/>
              </w:rPr>
              <w:t>3</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057"/>
              <w:gridCol w:w="1213"/>
              <w:gridCol w:w="1062"/>
              <w:gridCol w:w="1468"/>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
                      <w:szCs w:val="21"/>
                    </w:rPr>
                  </w:pPr>
                  <w:r>
                    <w:rPr>
                      <w:b/>
                      <w:szCs w:val="21"/>
                    </w:rPr>
                    <w:t>污染物</w:t>
                  </w:r>
                </w:p>
              </w:tc>
              <w:tc>
                <w:tcPr>
                  <w:tcW w:w="1967" w:type="dxa"/>
                  <w:vAlign w:val="center"/>
                </w:tcPr>
                <w:p>
                  <w:pPr>
                    <w:jc w:val="center"/>
                    <w:rPr>
                      <w:b/>
                      <w:szCs w:val="21"/>
                    </w:rPr>
                  </w:pPr>
                  <w:r>
                    <w:rPr>
                      <w:b/>
                      <w:szCs w:val="21"/>
                    </w:rPr>
                    <w:t>年评价指标</w:t>
                  </w:r>
                </w:p>
              </w:tc>
              <w:tc>
                <w:tcPr>
                  <w:tcW w:w="1160" w:type="dxa"/>
                  <w:vAlign w:val="center"/>
                </w:tcPr>
                <w:p>
                  <w:pPr>
                    <w:jc w:val="center"/>
                    <w:rPr>
                      <w:b/>
                      <w:szCs w:val="21"/>
                    </w:rPr>
                  </w:pPr>
                  <w:r>
                    <w:rPr>
                      <w:b/>
                      <w:szCs w:val="21"/>
                    </w:rPr>
                    <w:t>现状浓度</w:t>
                  </w:r>
                </w:p>
              </w:tc>
              <w:tc>
                <w:tcPr>
                  <w:tcW w:w="1015" w:type="dxa"/>
                  <w:vAlign w:val="center"/>
                </w:tcPr>
                <w:p>
                  <w:pPr>
                    <w:jc w:val="center"/>
                    <w:rPr>
                      <w:b/>
                      <w:szCs w:val="21"/>
                    </w:rPr>
                  </w:pPr>
                  <w:r>
                    <w:rPr>
                      <w:b/>
                      <w:szCs w:val="21"/>
                    </w:rPr>
                    <w:t>标准值</w:t>
                  </w:r>
                </w:p>
              </w:tc>
              <w:tc>
                <w:tcPr>
                  <w:tcW w:w="1404" w:type="dxa"/>
                  <w:vAlign w:val="center"/>
                </w:tcPr>
                <w:p>
                  <w:pPr>
                    <w:jc w:val="center"/>
                    <w:rPr>
                      <w:b/>
                      <w:szCs w:val="21"/>
                    </w:rPr>
                  </w:pPr>
                  <w:r>
                    <w:rPr>
                      <w:b/>
                      <w:szCs w:val="21"/>
                    </w:rPr>
                    <w:t>占标率（%）</w:t>
                  </w:r>
                </w:p>
              </w:tc>
              <w:tc>
                <w:tcPr>
                  <w:tcW w:w="1139" w:type="dxa"/>
                  <w:vAlign w:val="center"/>
                </w:tcPr>
                <w:p>
                  <w:pPr>
                    <w:jc w:val="center"/>
                    <w:rPr>
                      <w:b/>
                      <w:szCs w:val="21"/>
                    </w:rPr>
                  </w:pPr>
                  <w:r>
                    <w:rPr>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SO</w:t>
                  </w:r>
                  <w:r>
                    <w:rPr>
                      <w:bCs/>
                      <w:szCs w:val="21"/>
                      <w:vertAlign w:val="subscript"/>
                    </w:rPr>
                    <w:t>2</w:t>
                  </w:r>
                </w:p>
              </w:tc>
              <w:tc>
                <w:tcPr>
                  <w:tcW w:w="1967" w:type="dxa"/>
                  <w:vAlign w:val="center"/>
                </w:tcPr>
                <w:p>
                  <w:pPr>
                    <w:jc w:val="center"/>
                    <w:rPr>
                      <w:bCs/>
                      <w:szCs w:val="21"/>
                    </w:rPr>
                  </w:pPr>
                  <w:r>
                    <w:rPr>
                      <w:bCs/>
                      <w:szCs w:val="21"/>
                    </w:rPr>
                    <w:t>年平均质量浓度</w:t>
                  </w:r>
                </w:p>
              </w:tc>
              <w:tc>
                <w:tcPr>
                  <w:tcW w:w="1160" w:type="dxa"/>
                  <w:vAlign w:val="center"/>
                </w:tcPr>
                <w:p>
                  <w:pPr>
                    <w:pStyle w:val="52"/>
                    <w:rPr>
                      <w:bCs/>
                      <w:szCs w:val="21"/>
                    </w:rPr>
                  </w:pPr>
                  <w:r>
                    <w:rPr>
                      <w:rFonts w:hint="eastAsia"/>
                      <w:bCs/>
                      <w:szCs w:val="21"/>
                    </w:rPr>
                    <w:t>6</w:t>
                  </w:r>
                </w:p>
              </w:tc>
              <w:tc>
                <w:tcPr>
                  <w:tcW w:w="1015" w:type="dxa"/>
                  <w:vAlign w:val="center"/>
                </w:tcPr>
                <w:p>
                  <w:pPr>
                    <w:pStyle w:val="52"/>
                    <w:rPr>
                      <w:bCs/>
                      <w:szCs w:val="21"/>
                    </w:rPr>
                  </w:pPr>
                  <w:r>
                    <w:rPr>
                      <w:bCs/>
                      <w:szCs w:val="21"/>
                    </w:rPr>
                    <w:t>60</w:t>
                  </w:r>
                </w:p>
              </w:tc>
              <w:tc>
                <w:tcPr>
                  <w:tcW w:w="1404" w:type="dxa"/>
                  <w:vAlign w:val="center"/>
                </w:tcPr>
                <w:p>
                  <w:pPr>
                    <w:pStyle w:val="52"/>
                    <w:rPr>
                      <w:bCs/>
                      <w:szCs w:val="21"/>
                    </w:rPr>
                  </w:pPr>
                  <w:r>
                    <w:rPr>
                      <w:rFonts w:hint="eastAsia"/>
                      <w:bCs/>
                      <w:szCs w:val="21"/>
                      <w:lang w:val="en-US" w:eastAsia="zh-CN"/>
                    </w:rPr>
                    <w:t>10</w:t>
                  </w:r>
                  <w:r>
                    <w:rPr>
                      <w:bCs/>
                      <w:szCs w:val="21"/>
                    </w:rPr>
                    <w:t>.0</w:t>
                  </w:r>
                </w:p>
              </w:tc>
              <w:tc>
                <w:tcPr>
                  <w:tcW w:w="1139" w:type="dxa"/>
                  <w:vAlign w:val="center"/>
                </w:tcPr>
                <w:p>
                  <w:pPr>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NO</w:t>
                  </w:r>
                  <w:r>
                    <w:rPr>
                      <w:bCs/>
                      <w:szCs w:val="21"/>
                      <w:vertAlign w:val="subscript"/>
                    </w:rPr>
                    <w:t>2</w:t>
                  </w:r>
                </w:p>
              </w:tc>
              <w:tc>
                <w:tcPr>
                  <w:tcW w:w="1967" w:type="dxa"/>
                  <w:vAlign w:val="center"/>
                </w:tcPr>
                <w:p>
                  <w:pPr>
                    <w:jc w:val="center"/>
                    <w:rPr>
                      <w:bCs/>
                      <w:szCs w:val="21"/>
                    </w:rPr>
                  </w:pPr>
                  <w:r>
                    <w:rPr>
                      <w:bCs/>
                      <w:szCs w:val="21"/>
                    </w:rPr>
                    <w:t>年平均质量浓度</w:t>
                  </w:r>
                </w:p>
              </w:tc>
              <w:tc>
                <w:tcPr>
                  <w:tcW w:w="1160" w:type="dxa"/>
                  <w:vAlign w:val="center"/>
                </w:tcPr>
                <w:p>
                  <w:pPr>
                    <w:pStyle w:val="52"/>
                    <w:rPr>
                      <w:bCs/>
                      <w:szCs w:val="21"/>
                    </w:rPr>
                  </w:pPr>
                  <w:r>
                    <w:rPr>
                      <w:rFonts w:hint="eastAsia"/>
                      <w:bCs/>
                      <w:szCs w:val="21"/>
                    </w:rPr>
                    <w:t>16</w:t>
                  </w:r>
                </w:p>
              </w:tc>
              <w:tc>
                <w:tcPr>
                  <w:tcW w:w="1015" w:type="dxa"/>
                  <w:vAlign w:val="center"/>
                </w:tcPr>
                <w:p>
                  <w:pPr>
                    <w:pStyle w:val="52"/>
                    <w:rPr>
                      <w:bCs/>
                      <w:szCs w:val="21"/>
                    </w:rPr>
                  </w:pPr>
                  <w:r>
                    <w:rPr>
                      <w:bCs/>
                      <w:szCs w:val="21"/>
                    </w:rPr>
                    <w:t>40</w:t>
                  </w:r>
                </w:p>
              </w:tc>
              <w:tc>
                <w:tcPr>
                  <w:tcW w:w="1404" w:type="dxa"/>
                  <w:vAlign w:val="center"/>
                </w:tcPr>
                <w:p>
                  <w:pPr>
                    <w:pStyle w:val="52"/>
                    <w:rPr>
                      <w:bCs/>
                      <w:szCs w:val="21"/>
                    </w:rPr>
                  </w:pPr>
                  <w:r>
                    <w:rPr>
                      <w:bCs/>
                      <w:szCs w:val="21"/>
                    </w:rPr>
                    <w:t>4</w:t>
                  </w:r>
                  <w:r>
                    <w:rPr>
                      <w:rFonts w:hint="eastAsia"/>
                      <w:bCs/>
                      <w:szCs w:val="21"/>
                      <w:lang w:val="en-US" w:eastAsia="zh-CN"/>
                    </w:rPr>
                    <w:t>0</w:t>
                  </w:r>
                  <w:r>
                    <w:rPr>
                      <w:bCs/>
                      <w:szCs w:val="21"/>
                    </w:rPr>
                    <w:t>.0</w:t>
                  </w:r>
                </w:p>
              </w:tc>
              <w:tc>
                <w:tcPr>
                  <w:tcW w:w="1139" w:type="dxa"/>
                  <w:vAlign w:val="center"/>
                </w:tcPr>
                <w:p>
                  <w:pPr>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PM</w:t>
                  </w:r>
                  <w:r>
                    <w:rPr>
                      <w:bCs/>
                      <w:szCs w:val="21"/>
                      <w:vertAlign w:val="subscript"/>
                    </w:rPr>
                    <w:t>10</w:t>
                  </w:r>
                </w:p>
              </w:tc>
              <w:tc>
                <w:tcPr>
                  <w:tcW w:w="1967" w:type="dxa"/>
                  <w:vAlign w:val="center"/>
                </w:tcPr>
                <w:p>
                  <w:pPr>
                    <w:jc w:val="center"/>
                    <w:rPr>
                      <w:bCs/>
                      <w:szCs w:val="21"/>
                    </w:rPr>
                  </w:pPr>
                  <w:r>
                    <w:rPr>
                      <w:bCs/>
                      <w:szCs w:val="21"/>
                    </w:rPr>
                    <w:t>年平均质量浓度</w:t>
                  </w:r>
                </w:p>
              </w:tc>
              <w:tc>
                <w:tcPr>
                  <w:tcW w:w="1160" w:type="dxa"/>
                  <w:vAlign w:val="center"/>
                </w:tcPr>
                <w:p>
                  <w:pPr>
                    <w:pStyle w:val="52"/>
                    <w:rPr>
                      <w:bCs/>
                      <w:szCs w:val="21"/>
                    </w:rPr>
                  </w:pPr>
                  <w:r>
                    <w:rPr>
                      <w:rFonts w:hint="eastAsia"/>
                      <w:bCs/>
                      <w:szCs w:val="21"/>
                    </w:rPr>
                    <w:t>34</w:t>
                  </w:r>
                </w:p>
              </w:tc>
              <w:tc>
                <w:tcPr>
                  <w:tcW w:w="1015" w:type="dxa"/>
                  <w:vAlign w:val="center"/>
                </w:tcPr>
                <w:p>
                  <w:pPr>
                    <w:pStyle w:val="52"/>
                    <w:rPr>
                      <w:bCs/>
                      <w:szCs w:val="21"/>
                    </w:rPr>
                  </w:pPr>
                  <w:r>
                    <w:rPr>
                      <w:bCs/>
                      <w:szCs w:val="21"/>
                    </w:rPr>
                    <w:t>70</w:t>
                  </w:r>
                </w:p>
              </w:tc>
              <w:tc>
                <w:tcPr>
                  <w:tcW w:w="1404" w:type="dxa"/>
                  <w:vAlign w:val="center"/>
                </w:tcPr>
                <w:p>
                  <w:pPr>
                    <w:pStyle w:val="52"/>
                    <w:rPr>
                      <w:rFonts w:hint="default" w:eastAsia="宋体"/>
                      <w:bCs/>
                      <w:szCs w:val="21"/>
                      <w:lang w:val="en-US" w:eastAsia="zh-CN"/>
                    </w:rPr>
                  </w:pPr>
                  <w:r>
                    <w:rPr>
                      <w:rFonts w:hint="eastAsia"/>
                      <w:bCs/>
                      <w:szCs w:val="21"/>
                      <w:lang w:val="en-US" w:eastAsia="zh-CN"/>
                    </w:rPr>
                    <w:t>48.6</w:t>
                  </w:r>
                </w:p>
              </w:tc>
              <w:tc>
                <w:tcPr>
                  <w:tcW w:w="1139" w:type="dxa"/>
                  <w:vAlign w:val="center"/>
                </w:tcPr>
                <w:p>
                  <w:pPr>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PM</w:t>
                  </w:r>
                  <w:r>
                    <w:rPr>
                      <w:bCs/>
                      <w:szCs w:val="21"/>
                      <w:vertAlign w:val="subscript"/>
                    </w:rPr>
                    <w:t>2.5</w:t>
                  </w:r>
                </w:p>
              </w:tc>
              <w:tc>
                <w:tcPr>
                  <w:tcW w:w="1967" w:type="dxa"/>
                  <w:vAlign w:val="center"/>
                </w:tcPr>
                <w:p>
                  <w:pPr>
                    <w:jc w:val="center"/>
                    <w:rPr>
                      <w:bCs/>
                      <w:szCs w:val="21"/>
                    </w:rPr>
                  </w:pPr>
                  <w:r>
                    <w:rPr>
                      <w:bCs/>
                      <w:szCs w:val="21"/>
                    </w:rPr>
                    <w:t>年平均质量浓度</w:t>
                  </w:r>
                </w:p>
              </w:tc>
              <w:tc>
                <w:tcPr>
                  <w:tcW w:w="1160" w:type="dxa"/>
                  <w:vAlign w:val="center"/>
                </w:tcPr>
                <w:p>
                  <w:pPr>
                    <w:pStyle w:val="52"/>
                    <w:rPr>
                      <w:bCs/>
                      <w:szCs w:val="21"/>
                    </w:rPr>
                  </w:pPr>
                  <w:r>
                    <w:rPr>
                      <w:rFonts w:hint="eastAsia"/>
                      <w:bCs/>
                      <w:szCs w:val="21"/>
                    </w:rPr>
                    <w:t>20</w:t>
                  </w:r>
                </w:p>
              </w:tc>
              <w:tc>
                <w:tcPr>
                  <w:tcW w:w="1015" w:type="dxa"/>
                  <w:vAlign w:val="center"/>
                </w:tcPr>
                <w:p>
                  <w:pPr>
                    <w:pStyle w:val="52"/>
                    <w:rPr>
                      <w:bCs/>
                      <w:szCs w:val="21"/>
                    </w:rPr>
                  </w:pPr>
                  <w:r>
                    <w:rPr>
                      <w:bCs/>
                      <w:szCs w:val="21"/>
                    </w:rPr>
                    <w:t>35</w:t>
                  </w:r>
                </w:p>
              </w:tc>
              <w:tc>
                <w:tcPr>
                  <w:tcW w:w="1404" w:type="dxa"/>
                  <w:vAlign w:val="center"/>
                </w:tcPr>
                <w:p>
                  <w:pPr>
                    <w:pStyle w:val="52"/>
                    <w:rPr>
                      <w:rFonts w:hint="default" w:eastAsia="宋体"/>
                      <w:bCs/>
                      <w:szCs w:val="21"/>
                      <w:lang w:val="en-US" w:eastAsia="zh-CN"/>
                    </w:rPr>
                  </w:pPr>
                  <w:r>
                    <w:rPr>
                      <w:rFonts w:hint="eastAsia"/>
                      <w:bCs/>
                      <w:szCs w:val="21"/>
                      <w:lang w:val="en-US" w:eastAsia="zh-CN"/>
                    </w:rPr>
                    <w:t>57.1</w:t>
                  </w:r>
                </w:p>
              </w:tc>
              <w:tc>
                <w:tcPr>
                  <w:tcW w:w="1139" w:type="dxa"/>
                  <w:vAlign w:val="center"/>
                </w:tcPr>
                <w:p>
                  <w:pPr>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CO</w:t>
                  </w:r>
                </w:p>
              </w:tc>
              <w:tc>
                <w:tcPr>
                  <w:tcW w:w="1967" w:type="dxa"/>
                  <w:vAlign w:val="center"/>
                </w:tcPr>
                <w:p>
                  <w:pPr>
                    <w:jc w:val="center"/>
                    <w:rPr>
                      <w:bCs/>
                      <w:szCs w:val="21"/>
                    </w:rPr>
                  </w:pPr>
                  <w:r>
                    <w:rPr>
                      <w:bCs/>
                      <w:szCs w:val="21"/>
                    </w:rPr>
                    <w:t>日平均浓度</w:t>
                  </w:r>
                </w:p>
              </w:tc>
              <w:tc>
                <w:tcPr>
                  <w:tcW w:w="1160" w:type="dxa"/>
                  <w:vAlign w:val="center"/>
                </w:tcPr>
                <w:p>
                  <w:pPr>
                    <w:pStyle w:val="52"/>
                    <w:rPr>
                      <w:bCs/>
                      <w:szCs w:val="21"/>
                    </w:rPr>
                  </w:pPr>
                  <w:r>
                    <w:rPr>
                      <w:rFonts w:hint="eastAsia"/>
                      <w:bCs/>
                      <w:szCs w:val="21"/>
                    </w:rPr>
                    <w:t>900</w:t>
                  </w:r>
                </w:p>
              </w:tc>
              <w:tc>
                <w:tcPr>
                  <w:tcW w:w="1015" w:type="dxa"/>
                  <w:vAlign w:val="center"/>
                </w:tcPr>
                <w:p>
                  <w:pPr>
                    <w:pStyle w:val="52"/>
                    <w:rPr>
                      <w:bCs/>
                      <w:szCs w:val="21"/>
                    </w:rPr>
                  </w:pPr>
                  <w:r>
                    <w:rPr>
                      <w:bCs/>
                      <w:szCs w:val="21"/>
                    </w:rPr>
                    <w:t>4000</w:t>
                  </w:r>
                </w:p>
              </w:tc>
              <w:tc>
                <w:tcPr>
                  <w:tcW w:w="1404" w:type="dxa"/>
                  <w:vAlign w:val="center"/>
                </w:tcPr>
                <w:p>
                  <w:pPr>
                    <w:pStyle w:val="52"/>
                    <w:rPr>
                      <w:rFonts w:hint="default" w:eastAsia="宋体"/>
                      <w:bCs/>
                      <w:szCs w:val="21"/>
                      <w:lang w:val="en-US" w:eastAsia="zh-CN"/>
                    </w:rPr>
                  </w:pPr>
                  <w:r>
                    <w:rPr>
                      <w:rFonts w:hint="eastAsia"/>
                      <w:bCs/>
                      <w:szCs w:val="21"/>
                      <w:lang w:val="en-US" w:eastAsia="zh-CN"/>
                    </w:rPr>
                    <w:t>22.5</w:t>
                  </w:r>
                </w:p>
              </w:tc>
              <w:tc>
                <w:tcPr>
                  <w:tcW w:w="1139" w:type="dxa"/>
                  <w:vAlign w:val="center"/>
                </w:tcPr>
                <w:p>
                  <w:pPr>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vAlign w:val="center"/>
                </w:tcPr>
                <w:p>
                  <w:pPr>
                    <w:jc w:val="center"/>
                    <w:rPr>
                      <w:bCs/>
                      <w:szCs w:val="21"/>
                    </w:rPr>
                  </w:pPr>
                  <w:r>
                    <w:rPr>
                      <w:bCs/>
                      <w:szCs w:val="21"/>
                    </w:rPr>
                    <w:t>O</w:t>
                  </w:r>
                  <w:r>
                    <w:rPr>
                      <w:bCs/>
                      <w:szCs w:val="21"/>
                      <w:vertAlign w:val="subscript"/>
                    </w:rPr>
                    <w:t>3</w:t>
                  </w:r>
                </w:p>
              </w:tc>
              <w:tc>
                <w:tcPr>
                  <w:tcW w:w="1967" w:type="dxa"/>
                  <w:vAlign w:val="center"/>
                </w:tcPr>
                <w:p>
                  <w:pPr>
                    <w:jc w:val="center"/>
                    <w:rPr>
                      <w:bCs/>
                      <w:szCs w:val="21"/>
                    </w:rPr>
                  </w:pPr>
                  <w:r>
                    <w:rPr>
                      <w:bCs/>
                      <w:szCs w:val="21"/>
                    </w:rPr>
                    <w:t>日最大8h平均质量浓度</w:t>
                  </w:r>
                </w:p>
              </w:tc>
              <w:tc>
                <w:tcPr>
                  <w:tcW w:w="1160" w:type="dxa"/>
                  <w:vAlign w:val="center"/>
                </w:tcPr>
                <w:p>
                  <w:pPr>
                    <w:pStyle w:val="52"/>
                    <w:rPr>
                      <w:bCs/>
                      <w:szCs w:val="21"/>
                    </w:rPr>
                  </w:pPr>
                  <w:r>
                    <w:rPr>
                      <w:rFonts w:hint="eastAsia"/>
                      <w:bCs/>
                      <w:szCs w:val="21"/>
                    </w:rPr>
                    <w:t>130</w:t>
                  </w:r>
                </w:p>
              </w:tc>
              <w:tc>
                <w:tcPr>
                  <w:tcW w:w="1015" w:type="dxa"/>
                  <w:vAlign w:val="center"/>
                </w:tcPr>
                <w:p>
                  <w:pPr>
                    <w:pStyle w:val="52"/>
                    <w:rPr>
                      <w:bCs/>
                      <w:szCs w:val="21"/>
                    </w:rPr>
                  </w:pPr>
                  <w:r>
                    <w:rPr>
                      <w:bCs/>
                      <w:szCs w:val="21"/>
                    </w:rPr>
                    <w:t>160</w:t>
                  </w:r>
                </w:p>
              </w:tc>
              <w:tc>
                <w:tcPr>
                  <w:tcW w:w="1404" w:type="dxa"/>
                  <w:vAlign w:val="center"/>
                </w:tcPr>
                <w:p>
                  <w:pPr>
                    <w:pStyle w:val="52"/>
                    <w:rPr>
                      <w:rFonts w:hint="default" w:eastAsia="宋体"/>
                      <w:bCs/>
                      <w:szCs w:val="21"/>
                      <w:lang w:val="en-US" w:eastAsia="zh-CN"/>
                    </w:rPr>
                  </w:pPr>
                  <w:r>
                    <w:rPr>
                      <w:bCs/>
                      <w:szCs w:val="21"/>
                    </w:rPr>
                    <w:t>8</w:t>
                  </w:r>
                  <w:r>
                    <w:rPr>
                      <w:rFonts w:hint="eastAsia"/>
                      <w:bCs/>
                      <w:szCs w:val="21"/>
                      <w:lang w:val="en-US" w:eastAsia="zh-CN"/>
                    </w:rPr>
                    <w:t>1.3</w:t>
                  </w:r>
                </w:p>
              </w:tc>
              <w:tc>
                <w:tcPr>
                  <w:tcW w:w="1139" w:type="dxa"/>
                  <w:vAlign w:val="center"/>
                </w:tcPr>
                <w:p>
                  <w:pPr>
                    <w:jc w:val="center"/>
                    <w:rPr>
                      <w:bCs/>
                      <w:szCs w:val="21"/>
                    </w:rPr>
                  </w:pPr>
                  <w:r>
                    <w:rPr>
                      <w:bCs/>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根据上表，黄山市城区二氧化硫、二氧化氮、可吸入颗粒物、细颗粒物、一氧化碳、臭氧（日最大8小时平均）全部达到《环境空气质量标准》（GB3095-2012）及2018年修改单中的二级标准，项目所在区域为达标区。</w:t>
            </w:r>
          </w:p>
          <w:p>
            <w:pPr>
              <w:keepNext w:val="0"/>
              <w:keepLines w:val="0"/>
              <w:pageBreakBefore w:val="0"/>
              <w:widowControl w:val="0"/>
              <w:kinsoku/>
              <w:wordWrap/>
              <w:overflowPunct/>
              <w:topLinePunct w:val="0"/>
              <w:autoSpaceDE/>
              <w:autoSpaceDN/>
              <w:bidi w:val="0"/>
              <w:adjustRightInd/>
              <w:snapToGrid/>
              <w:spacing w:line="360" w:lineRule="auto"/>
              <w:textAlignment w:val="auto"/>
              <w:rPr>
                <w:b/>
                <w:sz w:val="28"/>
                <w:szCs w:val="28"/>
              </w:rPr>
            </w:pPr>
            <w:r>
              <w:rPr>
                <w:b/>
                <w:sz w:val="28"/>
                <w:szCs w:val="28"/>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根据《20</w:t>
            </w:r>
            <w:r>
              <w:rPr>
                <w:rFonts w:hint="eastAsia"/>
                <w:sz w:val="24"/>
              </w:rPr>
              <w:t>20</w:t>
            </w:r>
            <w:r>
              <w:rPr>
                <w:sz w:val="24"/>
              </w:rPr>
              <w:t>年黄山市环境状况公报》，黄山市水质状况总体优良。其中新安江流域河流总体水质状况优，8个监测断面水质均为Ⅱ类。</w:t>
            </w:r>
          </w:p>
          <w:p>
            <w:pPr>
              <w:keepNext w:val="0"/>
              <w:keepLines w:val="0"/>
              <w:pageBreakBefore w:val="0"/>
              <w:widowControl w:val="0"/>
              <w:kinsoku/>
              <w:wordWrap/>
              <w:overflowPunct/>
              <w:topLinePunct w:val="0"/>
              <w:autoSpaceDE/>
              <w:autoSpaceDN/>
              <w:bidi w:val="0"/>
              <w:adjustRightInd/>
              <w:snapToGrid/>
              <w:spacing w:line="360" w:lineRule="auto"/>
              <w:textAlignment w:val="auto"/>
              <w:rPr>
                <w:b/>
                <w:sz w:val="28"/>
                <w:szCs w:val="28"/>
              </w:rPr>
            </w:pPr>
            <w:r>
              <w:rPr>
                <w:b/>
                <w:sz w:val="28"/>
                <w:szCs w:val="28"/>
              </w:rPr>
              <w:t>3、声环境质量现状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黄山安琪尔环境检测有限公司于2021年</w:t>
            </w:r>
            <w:r>
              <w:rPr>
                <w:rFonts w:hint="eastAsia"/>
                <w:sz w:val="24"/>
              </w:rPr>
              <w:t>3</w:t>
            </w:r>
            <w:r>
              <w:rPr>
                <w:sz w:val="24"/>
              </w:rPr>
              <w:t>月</w:t>
            </w:r>
            <w:r>
              <w:rPr>
                <w:rFonts w:hint="eastAsia"/>
                <w:sz w:val="24"/>
              </w:rPr>
              <w:t>30</w:t>
            </w:r>
            <w:r>
              <w:rPr>
                <w:sz w:val="24"/>
              </w:rPr>
              <w:t>日对拟建项目四周厂界以及</w:t>
            </w:r>
            <w:r>
              <w:rPr>
                <w:rFonts w:hint="eastAsia"/>
                <w:sz w:val="24"/>
              </w:rPr>
              <w:t>声环境保护目标蕉充村居委会、蕉充安置小区一期</w:t>
            </w:r>
            <w:r>
              <w:rPr>
                <w:sz w:val="24"/>
              </w:rPr>
              <w:t>进行声环境质量现状监测，</w:t>
            </w:r>
            <w:r>
              <w:rPr>
                <w:rFonts w:hint="eastAsia"/>
                <w:sz w:val="24"/>
              </w:rPr>
              <w:t>仅监测昼间噪声</w:t>
            </w:r>
            <w:r>
              <w:rPr>
                <w:sz w:val="24"/>
              </w:rPr>
              <w:t>，共测1天，监测项目为Leq(A)，监测点位如图3-</w:t>
            </w:r>
            <w:r>
              <w:rPr>
                <w:rFonts w:hint="eastAsia"/>
                <w:sz w:val="24"/>
              </w:rPr>
              <w:t>1</w:t>
            </w:r>
            <w:r>
              <w:rPr>
                <w:sz w:val="24"/>
              </w:rPr>
              <w:t>所示。项目声环境现状监测结果见表3-</w:t>
            </w:r>
            <w:r>
              <w:rPr>
                <w:rFonts w:hint="eastAsia"/>
                <w:sz w:val="24"/>
              </w:rPr>
              <w:t>2</w:t>
            </w:r>
            <w:r>
              <w:rPr>
                <w:sz w:val="24"/>
              </w:rPr>
              <w:t>。</w:t>
            </w:r>
          </w:p>
          <w:p>
            <w:pPr>
              <w:pStyle w:val="2"/>
              <w:ind w:firstLine="0" w:firstLineChars="0"/>
              <w:rPr>
                <w:lang w:val="en-US" w:eastAsia="zh-CN"/>
              </w:rPr>
            </w:pPr>
          </w:p>
          <w:p>
            <w:pPr>
              <w:pStyle w:val="2"/>
              <w:ind w:firstLine="480"/>
              <w:jc w:val="center"/>
              <w:rPr>
                <w:lang w:val="en-US" w:eastAsia="zh-CN"/>
              </w:rPr>
            </w:pPr>
          </w:p>
          <w:p>
            <w:pPr>
              <w:pStyle w:val="2"/>
              <w:ind w:firstLine="480"/>
              <w:jc w:val="center"/>
              <w:rPr>
                <w:lang w:val="en-US" w:eastAsia="zh-CN"/>
              </w:rPr>
            </w:pPr>
          </w:p>
          <w:p>
            <w:pPr>
              <w:pStyle w:val="2"/>
              <w:ind w:firstLine="480"/>
              <w:jc w:val="center"/>
              <w:rPr>
                <w:lang w:val="en-US" w:eastAsia="zh-CN"/>
              </w:rPr>
            </w:pPr>
          </w:p>
          <w:p>
            <w:pPr>
              <w:pStyle w:val="2"/>
              <w:keepNext w:val="0"/>
              <w:keepLines w:val="0"/>
              <w:pageBreakBefore w:val="0"/>
              <w:widowControl/>
              <w:kinsoku/>
              <w:wordWrap/>
              <w:overflowPunct/>
              <w:topLinePunct w:val="0"/>
              <w:autoSpaceDE/>
              <w:autoSpaceDN/>
              <w:bidi w:val="0"/>
              <w:adjustRightInd/>
              <w:snapToGrid w:val="0"/>
              <w:spacing w:before="63" w:beforeLines="20" w:line="240" w:lineRule="auto"/>
              <w:ind w:left="0" w:leftChars="0" w:firstLine="0" w:firstLineChars="0"/>
              <w:jc w:val="center"/>
              <w:textAlignment w:val="auto"/>
              <w:rPr>
                <w:rFonts w:hint="eastAsia"/>
                <w:b/>
                <w:bCs/>
                <w:lang w:val="en-US" w:eastAsia="zh-CN"/>
              </w:rPr>
            </w:pPr>
            <w:r>
              <w:rPr>
                <w:lang w:val="en-US" w:eastAsia="zh-CN"/>
              </w:rPr>
              <w:pict>
                <v:shape id="_x0000_i1027" o:spt="75" type="#_x0000_t75" style="height:435.8pt;width:398.25pt;" filled="f" o:preferrelative="t" stroked="f" coordsize="21600,21600">
                  <v:path/>
                  <v:fill on="f" focussize="0,0"/>
                  <v:stroke on="f"/>
                  <v:imagedata r:id="rId20" o:title=""/>
                  <o:lock v:ext="edit" aspectratio="t"/>
                  <w10:wrap type="none"/>
                  <w10:anchorlock/>
                </v:shape>
              </w:pict>
            </w:r>
          </w:p>
          <w:p>
            <w:pPr>
              <w:pStyle w:val="2"/>
              <w:spacing w:line="240" w:lineRule="auto"/>
              <w:ind w:firstLine="480"/>
              <w:jc w:val="center"/>
              <w:rPr>
                <w:b/>
                <w:szCs w:val="24"/>
                <w:lang w:val="en-US" w:eastAsia="zh-CN"/>
              </w:rPr>
            </w:pPr>
            <w:r>
              <w:rPr>
                <w:rFonts w:hint="eastAsia"/>
                <w:b/>
                <w:bCs/>
                <w:lang w:val="en-US" w:eastAsia="zh-CN"/>
              </w:rPr>
              <w:t xml:space="preserve">图3-1  </w:t>
            </w:r>
            <w:r>
              <w:rPr>
                <w:b/>
                <w:szCs w:val="24"/>
                <w:lang w:val="en-US" w:eastAsia="zh-CN"/>
              </w:rPr>
              <w:t>声境监测点位分布图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4"/>
              </w:rPr>
            </w:pPr>
            <w:r>
              <w:rPr>
                <w:b/>
                <w:sz w:val="24"/>
              </w:rPr>
              <w:t>表3-</w:t>
            </w:r>
            <w:r>
              <w:rPr>
                <w:rFonts w:hint="eastAsia"/>
                <w:b/>
                <w:sz w:val="24"/>
              </w:rPr>
              <w:t>2</w:t>
            </w:r>
            <w:r>
              <w:rPr>
                <w:b/>
                <w:sz w:val="24"/>
              </w:rPr>
              <w:t xml:space="preserve">  声环境现状监测结果一览表 单位：Leq 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3278"/>
              <w:gridCol w:w="1370"/>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restart"/>
                  <w:vAlign w:val="center"/>
                </w:tcPr>
                <w:p>
                  <w:pPr>
                    <w:jc w:val="center"/>
                    <w:rPr>
                      <w:b/>
                      <w:bCs/>
                      <w:szCs w:val="21"/>
                    </w:rPr>
                  </w:pPr>
                  <w:r>
                    <w:rPr>
                      <w:b/>
                      <w:bCs/>
                      <w:szCs w:val="21"/>
                    </w:rPr>
                    <w:t>日期</w:t>
                  </w:r>
                </w:p>
              </w:tc>
              <w:tc>
                <w:tcPr>
                  <w:tcW w:w="3278" w:type="dxa"/>
                  <w:vMerge w:val="restart"/>
                  <w:vAlign w:val="center"/>
                </w:tcPr>
                <w:p>
                  <w:pPr>
                    <w:jc w:val="center"/>
                    <w:rPr>
                      <w:b/>
                      <w:bCs/>
                      <w:szCs w:val="21"/>
                    </w:rPr>
                  </w:pPr>
                  <w:r>
                    <w:rPr>
                      <w:b/>
                      <w:bCs/>
                      <w:szCs w:val="21"/>
                    </w:rPr>
                    <w:t>监测点位</w:t>
                  </w:r>
                </w:p>
              </w:tc>
              <w:tc>
                <w:tcPr>
                  <w:tcW w:w="2639" w:type="dxa"/>
                  <w:gridSpan w:val="2"/>
                  <w:vAlign w:val="center"/>
                </w:tcPr>
                <w:p>
                  <w:pPr>
                    <w:jc w:val="center"/>
                    <w:rPr>
                      <w:b/>
                      <w:bCs/>
                      <w:szCs w:val="21"/>
                    </w:rPr>
                  </w:pPr>
                  <w:r>
                    <w:rPr>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b/>
                      <w:bCs/>
                      <w:szCs w:val="21"/>
                    </w:rPr>
                  </w:pPr>
                </w:p>
              </w:tc>
              <w:tc>
                <w:tcPr>
                  <w:tcW w:w="3278" w:type="dxa"/>
                  <w:vMerge w:val="continue"/>
                  <w:vAlign w:val="center"/>
                </w:tcPr>
                <w:p>
                  <w:pPr>
                    <w:jc w:val="center"/>
                    <w:rPr>
                      <w:b/>
                      <w:bCs/>
                      <w:szCs w:val="21"/>
                    </w:rPr>
                  </w:pPr>
                </w:p>
              </w:tc>
              <w:tc>
                <w:tcPr>
                  <w:tcW w:w="1370" w:type="dxa"/>
                  <w:vAlign w:val="center"/>
                </w:tcPr>
                <w:p>
                  <w:pPr>
                    <w:jc w:val="center"/>
                    <w:rPr>
                      <w:b/>
                      <w:bCs/>
                      <w:szCs w:val="21"/>
                    </w:rPr>
                  </w:pPr>
                  <w:r>
                    <w:rPr>
                      <w:rFonts w:hint="eastAsia"/>
                      <w:b/>
                      <w:bCs/>
                      <w:szCs w:val="21"/>
                    </w:rPr>
                    <w:t>监测值</w:t>
                  </w:r>
                </w:p>
              </w:tc>
              <w:tc>
                <w:tcPr>
                  <w:tcW w:w="1269" w:type="dxa"/>
                  <w:tcBorders>
                    <w:bottom w:val="single" w:color="auto" w:sz="2" w:space="0"/>
                  </w:tcBorders>
                  <w:vAlign w:val="center"/>
                </w:tcPr>
                <w:p>
                  <w:pPr>
                    <w:jc w:val="center"/>
                    <w:rPr>
                      <w:b/>
                      <w:bCs/>
                      <w:szCs w:val="21"/>
                    </w:rPr>
                  </w:pPr>
                  <w:r>
                    <w:rPr>
                      <w:b/>
                      <w:bCs/>
                      <w:szCs w:val="21"/>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restart"/>
                  <w:vAlign w:val="center"/>
                </w:tcPr>
                <w:p>
                  <w:pPr>
                    <w:jc w:val="center"/>
                    <w:rPr>
                      <w:szCs w:val="21"/>
                    </w:rPr>
                  </w:pPr>
                  <w:r>
                    <w:rPr>
                      <w:szCs w:val="21"/>
                    </w:rPr>
                    <w:t>2021.3.30</w:t>
                  </w:r>
                </w:p>
              </w:tc>
              <w:tc>
                <w:tcPr>
                  <w:tcW w:w="3278" w:type="dxa"/>
                  <w:vAlign w:val="center"/>
                </w:tcPr>
                <w:p>
                  <w:pPr>
                    <w:jc w:val="center"/>
                    <w:rPr>
                      <w:szCs w:val="21"/>
                    </w:rPr>
                  </w:pPr>
                  <w:r>
                    <w:rPr>
                      <w:bCs/>
                      <w:szCs w:val="21"/>
                    </w:rPr>
                    <w:t>东厂界外1m</w:t>
                  </w:r>
                </w:p>
              </w:tc>
              <w:tc>
                <w:tcPr>
                  <w:tcW w:w="1370" w:type="dxa"/>
                  <w:vAlign w:val="center"/>
                </w:tcPr>
                <w:p>
                  <w:pPr>
                    <w:jc w:val="center"/>
                    <w:rPr>
                      <w:szCs w:val="21"/>
                    </w:rPr>
                  </w:pPr>
                  <w:r>
                    <w:rPr>
                      <w:szCs w:val="21"/>
                    </w:rPr>
                    <w:t>50.5</w:t>
                  </w:r>
                </w:p>
              </w:tc>
              <w:tc>
                <w:tcPr>
                  <w:tcW w:w="1269" w:type="dxa"/>
                  <w:vMerge w:val="restart"/>
                  <w:vAlign w:val="center"/>
                </w:tcPr>
                <w:p>
                  <w:pPr>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szCs w:val="21"/>
                    </w:rPr>
                  </w:pPr>
                </w:p>
              </w:tc>
              <w:tc>
                <w:tcPr>
                  <w:tcW w:w="3278" w:type="dxa"/>
                  <w:vAlign w:val="center"/>
                </w:tcPr>
                <w:p>
                  <w:pPr>
                    <w:jc w:val="center"/>
                    <w:rPr>
                      <w:szCs w:val="21"/>
                    </w:rPr>
                  </w:pPr>
                  <w:r>
                    <w:rPr>
                      <w:bCs/>
                      <w:szCs w:val="21"/>
                    </w:rPr>
                    <w:t>南厂界外1m</w:t>
                  </w:r>
                </w:p>
              </w:tc>
              <w:tc>
                <w:tcPr>
                  <w:tcW w:w="1370" w:type="dxa"/>
                  <w:vAlign w:val="center"/>
                </w:tcPr>
                <w:p>
                  <w:pPr>
                    <w:jc w:val="center"/>
                    <w:rPr>
                      <w:szCs w:val="21"/>
                    </w:rPr>
                  </w:pPr>
                  <w:r>
                    <w:rPr>
                      <w:szCs w:val="21"/>
                    </w:rPr>
                    <w:t>53.0</w:t>
                  </w:r>
                </w:p>
              </w:tc>
              <w:tc>
                <w:tcPr>
                  <w:tcW w:w="126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szCs w:val="21"/>
                    </w:rPr>
                  </w:pPr>
                </w:p>
              </w:tc>
              <w:tc>
                <w:tcPr>
                  <w:tcW w:w="3278" w:type="dxa"/>
                  <w:vAlign w:val="center"/>
                </w:tcPr>
                <w:p>
                  <w:pPr>
                    <w:jc w:val="center"/>
                    <w:rPr>
                      <w:szCs w:val="21"/>
                    </w:rPr>
                  </w:pPr>
                  <w:r>
                    <w:rPr>
                      <w:bCs/>
                      <w:szCs w:val="21"/>
                    </w:rPr>
                    <w:t>西厂界外1m</w:t>
                  </w:r>
                </w:p>
              </w:tc>
              <w:tc>
                <w:tcPr>
                  <w:tcW w:w="1370" w:type="dxa"/>
                  <w:vAlign w:val="center"/>
                </w:tcPr>
                <w:p>
                  <w:pPr>
                    <w:jc w:val="center"/>
                    <w:rPr>
                      <w:szCs w:val="21"/>
                    </w:rPr>
                  </w:pPr>
                  <w:r>
                    <w:rPr>
                      <w:szCs w:val="21"/>
                    </w:rPr>
                    <w:t>53.7</w:t>
                  </w:r>
                </w:p>
              </w:tc>
              <w:tc>
                <w:tcPr>
                  <w:tcW w:w="126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szCs w:val="21"/>
                    </w:rPr>
                  </w:pPr>
                </w:p>
              </w:tc>
              <w:tc>
                <w:tcPr>
                  <w:tcW w:w="3278" w:type="dxa"/>
                  <w:vAlign w:val="center"/>
                </w:tcPr>
                <w:p>
                  <w:pPr>
                    <w:jc w:val="center"/>
                    <w:rPr>
                      <w:szCs w:val="21"/>
                    </w:rPr>
                  </w:pPr>
                  <w:r>
                    <w:rPr>
                      <w:bCs/>
                      <w:szCs w:val="21"/>
                    </w:rPr>
                    <w:t>北厂界外1m</w:t>
                  </w:r>
                </w:p>
              </w:tc>
              <w:tc>
                <w:tcPr>
                  <w:tcW w:w="1370" w:type="dxa"/>
                  <w:vAlign w:val="center"/>
                </w:tcPr>
                <w:p>
                  <w:pPr>
                    <w:jc w:val="center"/>
                    <w:rPr>
                      <w:szCs w:val="21"/>
                    </w:rPr>
                  </w:pPr>
                  <w:r>
                    <w:rPr>
                      <w:szCs w:val="21"/>
                    </w:rPr>
                    <w:t>53.7</w:t>
                  </w:r>
                </w:p>
              </w:tc>
              <w:tc>
                <w:tcPr>
                  <w:tcW w:w="126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szCs w:val="21"/>
                    </w:rPr>
                  </w:pPr>
                </w:p>
              </w:tc>
              <w:tc>
                <w:tcPr>
                  <w:tcW w:w="3278" w:type="dxa"/>
                  <w:vAlign w:val="center"/>
                </w:tcPr>
                <w:p>
                  <w:pPr>
                    <w:jc w:val="center"/>
                    <w:rPr>
                      <w:bCs/>
                      <w:szCs w:val="21"/>
                    </w:rPr>
                  </w:pPr>
                  <w:r>
                    <w:rPr>
                      <w:rFonts w:hint="eastAsia"/>
                      <w:bCs/>
                      <w:szCs w:val="21"/>
                    </w:rPr>
                    <w:t>蕉充安置小区一期</w:t>
                  </w:r>
                </w:p>
              </w:tc>
              <w:tc>
                <w:tcPr>
                  <w:tcW w:w="1370" w:type="dxa"/>
                  <w:vAlign w:val="center"/>
                </w:tcPr>
                <w:p>
                  <w:pPr>
                    <w:jc w:val="center"/>
                    <w:rPr>
                      <w:szCs w:val="21"/>
                    </w:rPr>
                  </w:pPr>
                  <w:r>
                    <w:rPr>
                      <w:szCs w:val="21"/>
                    </w:rPr>
                    <w:t>57.0</w:t>
                  </w:r>
                </w:p>
              </w:tc>
              <w:tc>
                <w:tcPr>
                  <w:tcW w:w="1269"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Merge w:val="continue"/>
                  <w:vAlign w:val="center"/>
                </w:tcPr>
                <w:p>
                  <w:pPr>
                    <w:jc w:val="center"/>
                    <w:rPr>
                      <w:szCs w:val="21"/>
                    </w:rPr>
                  </w:pPr>
                </w:p>
              </w:tc>
              <w:tc>
                <w:tcPr>
                  <w:tcW w:w="3278" w:type="dxa"/>
                  <w:vAlign w:val="center"/>
                </w:tcPr>
                <w:p>
                  <w:pPr>
                    <w:jc w:val="center"/>
                    <w:rPr>
                      <w:szCs w:val="21"/>
                    </w:rPr>
                  </w:pPr>
                  <w:r>
                    <w:rPr>
                      <w:rFonts w:hint="eastAsia"/>
                      <w:szCs w:val="21"/>
                    </w:rPr>
                    <w:t>蕉充村居委会</w:t>
                  </w:r>
                </w:p>
              </w:tc>
              <w:tc>
                <w:tcPr>
                  <w:tcW w:w="1370" w:type="dxa"/>
                  <w:vAlign w:val="center"/>
                </w:tcPr>
                <w:p>
                  <w:pPr>
                    <w:jc w:val="center"/>
                    <w:rPr>
                      <w:szCs w:val="21"/>
                    </w:rPr>
                  </w:pPr>
                  <w:r>
                    <w:rPr>
                      <w:szCs w:val="21"/>
                    </w:rPr>
                    <w:t>54.5</w:t>
                  </w:r>
                </w:p>
              </w:tc>
              <w:tc>
                <w:tcPr>
                  <w:tcW w:w="1269" w:type="dxa"/>
                  <w:vMerge w:val="continue"/>
                  <w:vAlign w:val="center"/>
                </w:tcPr>
                <w:p>
                  <w:pPr>
                    <w:jc w:val="center"/>
                    <w:rPr>
                      <w:szCs w:val="21"/>
                    </w:rPr>
                  </w:pPr>
                </w:p>
              </w:tc>
            </w:tr>
          </w:tbl>
          <w:p>
            <w:pPr>
              <w:spacing w:line="360" w:lineRule="auto"/>
              <w:ind w:firstLine="480" w:firstLineChars="200"/>
            </w:pPr>
            <w:r>
              <w:rPr>
                <w:sz w:val="24"/>
              </w:rPr>
              <w:t>由以上监测结果可知</w:t>
            </w:r>
            <w:r>
              <w:rPr>
                <w:sz w:val="24"/>
                <w:lang w:val="en-CA"/>
              </w:rPr>
              <w:t>，</w:t>
            </w:r>
            <w:r>
              <w:rPr>
                <w:sz w:val="24"/>
              </w:rPr>
              <w:t>本项目四周厂界及</w:t>
            </w:r>
            <w:r>
              <w:rPr>
                <w:rFonts w:hint="eastAsia"/>
                <w:sz w:val="24"/>
              </w:rPr>
              <w:t>北侧声环境保护目标蕉充村居委会、南侧声环境保护目标蕉充安置小区一期</w:t>
            </w:r>
            <w:r>
              <w:rPr>
                <w:sz w:val="24"/>
              </w:rPr>
              <w:t>昼</w:t>
            </w:r>
            <w:r>
              <w:rPr>
                <w:rFonts w:hint="eastAsia"/>
                <w:sz w:val="24"/>
              </w:rPr>
              <w:t>间</w:t>
            </w:r>
            <w:r>
              <w:rPr>
                <w:sz w:val="24"/>
              </w:rPr>
              <w:t>声环境符合应执行的《声环境质量标准》（GB3096-2008）中2类标准。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35"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bCs/>
                <w:sz w:val="24"/>
                <w:lang w:eastAsia="zh-CN"/>
              </w:rPr>
            </w:pPr>
            <w:r>
              <w:rPr>
                <w:sz w:val="24"/>
              </w:rPr>
              <w:t>本项目</w:t>
            </w:r>
            <w:r>
              <w:rPr>
                <w:sz w:val="24"/>
                <w:lang w:val="zh-CN"/>
              </w:rPr>
              <w:t>位于</w:t>
            </w:r>
            <w:r>
              <w:rPr>
                <w:sz w:val="24"/>
              </w:rPr>
              <w:t>安徽省黄山市</w:t>
            </w:r>
            <w:r>
              <w:rPr>
                <w:rFonts w:hint="eastAsia"/>
                <w:sz w:val="24"/>
              </w:rPr>
              <w:t>高新区蕉充安置小区一期</w:t>
            </w:r>
            <w:r>
              <w:rPr>
                <w:sz w:val="24"/>
              </w:rPr>
              <w:t>北侧，项目周边无自然保护区、风景名胜区、文物古迹等环境敏感点。经现场调查，项目</w:t>
            </w:r>
            <w:r>
              <w:rPr>
                <w:rFonts w:hint="eastAsia"/>
                <w:sz w:val="24"/>
              </w:rPr>
              <w:t>厂界外50m范围内声环境保护目标见表3-3</w:t>
            </w:r>
            <w:r>
              <w:rPr>
                <w:rFonts w:hint="eastAsia"/>
                <w:sz w:val="24"/>
                <w:lang w:eastAsia="zh-CN"/>
              </w:rPr>
              <w:t>，</w:t>
            </w:r>
            <w:r>
              <w:rPr>
                <w:rFonts w:hint="eastAsia"/>
                <w:sz w:val="24"/>
              </w:rPr>
              <w:t>500m范围内无地下水集中式饮用水水源和热水、矿泉水、温泉等特殊地下水资源，500m范围内</w:t>
            </w:r>
            <w:r>
              <w:rPr>
                <w:sz w:val="24"/>
              </w:rPr>
              <w:t>大气环境保护目标</w:t>
            </w:r>
            <w:r>
              <w:rPr>
                <w:rFonts w:hint="eastAsia"/>
                <w:sz w:val="24"/>
              </w:rPr>
              <w:t>详见表3-3、图3-2</w:t>
            </w:r>
            <w:r>
              <w:rPr>
                <w:rFonts w:hint="eastAsia"/>
                <w:sz w:val="24"/>
                <w:lang w:eastAsia="zh-CN"/>
              </w:rPr>
              <w:t>。</w:t>
            </w:r>
          </w:p>
          <w:p>
            <w:pPr>
              <w:pStyle w:val="8"/>
              <w:spacing w:line="240" w:lineRule="auto"/>
              <w:ind w:firstLine="482"/>
              <w:jc w:val="center"/>
              <w:rPr>
                <w:b/>
                <w:bCs/>
                <w:sz w:val="24"/>
              </w:rPr>
            </w:pPr>
            <w:r>
              <w:rPr>
                <w:b/>
                <w:bCs/>
                <w:sz w:val="24"/>
              </w:rPr>
              <w:t>表3-3  主要环境保护目标一览表</w:t>
            </w: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1094"/>
              <w:gridCol w:w="1291"/>
              <w:gridCol w:w="1186"/>
              <w:gridCol w:w="1059"/>
              <w:gridCol w:w="1313"/>
              <w:gridCol w:w="691"/>
              <w:gridCol w:w="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643" w:type="dxa"/>
                  <w:vMerge w:val="restart"/>
                  <w:shd w:val="clear" w:color="auto" w:fill="FFFFFF"/>
                  <w:vAlign w:val="center"/>
                </w:tcPr>
                <w:p>
                  <w:pPr>
                    <w:pStyle w:val="53"/>
                    <w:jc w:val="center"/>
                    <w:rPr>
                      <w:b/>
                      <w:bCs/>
                      <w:sz w:val="18"/>
                      <w:szCs w:val="18"/>
                    </w:rPr>
                  </w:pPr>
                  <w:r>
                    <w:rPr>
                      <w:b/>
                      <w:bCs/>
                      <w:sz w:val="18"/>
                      <w:szCs w:val="18"/>
                    </w:rPr>
                    <w:t>环境</w:t>
                  </w:r>
                </w:p>
                <w:p>
                  <w:pPr>
                    <w:pStyle w:val="53"/>
                    <w:jc w:val="center"/>
                    <w:rPr>
                      <w:b/>
                      <w:bCs/>
                      <w:sz w:val="18"/>
                      <w:szCs w:val="18"/>
                    </w:rPr>
                  </w:pPr>
                  <w:r>
                    <w:rPr>
                      <w:b/>
                      <w:bCs/>
                      <w:sz w:val="18"/>
                      <w:szCs w:val="18"/>
                    </w:rPr>
                    <w:t>要素</w:t>
                  </w:r>
                </w:p>
              </w:tc>
              <w:tc>
                <w:tcPr>
                  <w:tcW w:w="1093" w:type="dxa"/>
                  <w:vMerge w:val="restart"/>
                  <w:shd w:val="clear" w:color="auto" w:fill="FFFFFF"/>
                  <w:vAlign w:val="center"/>
                </w:tcPr>
                <w:p>
                  <w:pPr>
                    <w:pStyle w:val="53"/>
                    <w:jc w:val="center"/>
                    <w:rPr>
                      <w:b/>
                      <w:bCs/>
                      <w:sz w:val="18"/>
                      <w:szCs w:val="18"/>
                    </w:rPr>
                  </w:pPr>
                  <w:r>
                    <w:rPr>
                      <w:b/>
                      <w:bCs/>
                      <w:sz w:val="18"/>
                      <w:szCs w:val="18"/>
                    </w:rPr>
                    <w:t>名称</w:t>
                  </w:r>
                </w:p>
              </w:tc>
              <w:tc>
                <w:tcPr>
                  <w:tcW w:w="2475" w:type="dxa"/>
                  <w:gridSpan w:val="2"/>
                  <w:shd w:val="clear" w:color="auto" w:fill="FFFFFF"/>
                  <w:vAlign w:val="center"/>
                </w:tcPr>
                <w:p>
                  <w:pPr>
                    <w:pStyle w:val="53"/>
                    <w:jc w:val="center"/>
                    <w:rPr>
                      <w:b/>
                      <w:bCs/>
                      <w:sz w:val="18"/>
                      <w:szCs w:val="18"/>
                    </w:rPr>
                  </w:pPr>
                  <w:r>
                    <w:rPr>
                      <w:b/>
                      <w:bCs/>
                      <w:sz w:val="18"/>
                      <w:szCs w:val="18"/>
                    </w:rPr>
                    <w:t>坐标/m</w:t>
                  </w:r>
                </w:p>
              </w:tc>
              <w:tc>
                <w:tcPr>
                  <w:tcW w:w="1058" w:type="dxa"/>
                  <w:vMerge w:val="restart"/>
                  <w:shd w:val="clear" w:color="auto" w:fill="FFFFFF"/>
                  <w:vAlign w:val="center"/>
                </w:tcPr>
                <w:p>
                  <w:pPr>
                    <w:pStyle w:val="53"/>
                    <w:jc w:val="center"/>
                    <w:rPr>
                      <w:b/>
                      <w:bCs/>
                      <w:sz w:val="18"/>
                      <w:szCs w:val="18"/>
                    </w:rPr>
                  </w:pPr>
                  <w:r>
                    <w:rPr>
                      <w:b/>
                      <w:bCs/>
                      <w:sz w:val="18"/>
                      <w:szCs w:val="18"/>
                    </w:rPr>
                    <w:t>保护</w:t>
                  </w:r>
                </w:p>
                <w:p>
                  <w:pPr>
                    <w:pStyle w:val="53"/>
                    <w:jc w:val="center"/>
                    <w:rPr>
                      <w:b/>
                      <w:bCs/>
                      <w:sz w:val="18"/>
                      <w:szCs w:val="18"/>
                    </w:rPr>
                  </w:pPr>
                  <w:r>
                    <w:rPr>
                      <w:b/>
                      <w:bCs/>
                      <w:sz w:val="18"/>
                      <w:szCs w:val="18"/>
                    </w:rPr>
                    <w:t>对象</w:t>
                  </w:r>
                </w:p>
              </w:tc>
              <w:tc>
                <w:tcPr>
                  <w:tcW w:w="1312" w:type="dxa"/>
                  <w:vMerge w:val="restart"/>
                  <w:shd w:val="clear" w:color="auto" w:fill="FFFFFF"/>
                  <w:vAlign w:val="center"/>
                </w:tcPr>
                <w:p>
                  <w:pPr>
                    <w:pStyle w:val="53"/>
                    <w:jc w:val="center"/>
                    <w:rPr>
                      <w:b/>
                      <w:bCs/>
                      <w:sz w:val="18"/>
                      <w:szCs w:val="18"/>
                    </w:rPr>
                  </w:pPr>
                  <w:r>
                    <w:rPr>
                      <w:b/>
                      <w:bCs/>
                      <w:sz w:val="18"/>
                      <w:szCs w:val="18"/>
                    </w:rPr>
                    <w:t>保护</w:t>
                  </w:r>
                </w:p>
                <w:p>
                  <w:pPr>
                    <w:pStyle w:val="53"/>
                    <w:jc w:val="center"/>
                    <w:rPr>
                      <w:b/>
                      <w:bCs/>
                      <w:sz w:val="18"/>
                      <w:szCs w:val="18"/>
                    </w:rPr>
                  </w:pPr>
                  <w:r>
                    <w:rPr>
                      <w:b/>
                      <w:bCs/>
                      <w:sz w:val="18"/>
                      <w:szCs w:val="18"/>
                    </w:rPr>
                    <w:t>级别</w:t>
                  </w:r>
                </w:p>
              </w:tc>
              <w:tc>
                <w:tcPr>
                  <w:tcW w:w="690" w:type="dxa"/>
                  <w:vMerge w:val="restart"/>
                  <w:shd w:val="clear" w:color="auto" w:fill="FFFFFF"/>
                  <w:vAlign w:val="center"/>
                </w:tcPr>
                <w:p>
                  <w:pPr>
                    <w:pStyle w:val="53"/>
                    <w:jc w:val="center"/>
                    <w:rPr>
                      <w:b/>
                      <w:bCs/>
                      <w:sz w:val="18"/>
                      <w:szCs w:val="18"/>
                    </w:rPr>
                  </w:pPr>
                  <w:r>
                    <w:rPr>
                      <w:b/>
                      <w:bCs/>
                      <w:sz w:val="18"/>
                      <w:szCs w:val="18"/>
                    </w:rPr>
                    <w:t>相对厂址方位</w:t>
                  </w:r>
                </w:p>
              </w:tc>
              <w:tc>
                <w:tcPr>
                  <w:tcW w:w="687" w:type="dxa"/>
                  <w:vMerge w:val="restart"/>
                  <w:shd w:val="clear" w:color="auto" w:fill="FFFFFF"/>
                  <w:vAlign w:val="center"/>
                </w:tcPr>
                <w:p>
                  <w:pPr>
                    <w:pStyle w:val="53"/>
                    <w:jc w:val="center"/>
                    <w:rPr>
                      <w:b/>
                      <w:bCs/>
                      <w:sz w:val="18"/>
                      <w:szCs w:val="18"/>
                    </w:rPr>
                  </w:pPr>
                  <w:r>
                    <w:rPr>
                      <w:b/>
                      <w:bCs/>
                      <w:sz w:val="18"/>
                      <w:szCs w:val="18"/>
                    </w:rPr>
                    <w:t>相对场界距离/m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vMerge w:val="continue"/>
                  <w:shd w:val="clear" w:color="auto" w:fill="FFFFFF"/>
                  <w:vAlign w:val="center"/>
                </w:tcPr>
                <w:p>
                  <w:pPr>
                    <w:pStyle w:val="53"/>
                    <w:jc w:val="center"/>
                    <w:rPr>
                      <w:sz w:val="18"/>
                      <w:szCs w:val="18"/>
                    </w:rPr>
                  </w:pPr>
                </w:p>
              </w:tc>
              <w:tc>
                <w:tcPr>
                  <w:tcW w:w="1290" w:type="dxa"/>
                  <w:shd w:val="clear" w:color="auto" w:fill="FFFFFF"/>
                  <w:vAlign w:val="center"/>
                </w:tcPr>
                <w:p>
                  <w:pPr>
                    <w:pStyle w:val="53"/>
                    <w:jc w:val="center"/>
                    <w:rPr>
                      <w:b/>
                      <w:bCs/>
                      <w:sz w:val="18"/>
                      <w:szCs w:val="18"/>
                    </w:rPr>
                  </w:pPr>
                  <w:r>
                    <w:rPr>
                      <w:b/>
                      <w:bCs/>
                      <w:sz w:val="18"/>
                      <w:szCs w:val="18"/>
                    </w:rPr>
                    <w:t>X</w:t>
                  </w:r>
                </w:p>
              </w:tc>
              <w:tc>
                <w:tcPr>
                  <w:tcW w:w="1185" w:type="dxa"/>
                  <w:shd w:val="clear" w:color="auto" w:fill="FFFFFF"/>
                  <w:vAlign w:val="center"/>
                </w:tcPr>
                <w:p>
                  <w:pPr>
                    <w:pStyle w:val="53"/>
                    <w:jc w:val="center"/>
                    <w:rPr>
                      <w:b/>
                      <w:bCs/>
                      <w:sz w:val="18"/>
                      <w:szCs w:val="18"/>
                    </w:rPr>
                  </w:pPr>
                  <w:r>
                    <w:rPr>
                      <w:b/>
                      <w:bCs/>
                      <w:sz w:val="18"/>
                      <w:szCs w:val="18"/>
                    </w:rPr>
                    <w:t>Y</w:t>
                  </w:r>
                </w:p>
              </w:tc>
              <w:tc>
                <w:tcPr>
                  <w:tcW w:w="1058" w:type="dxa"/>
                  <w:vMerge w:val="continue"/>
                  <w:shd w:val="clear" w:color="auto" w:fill="FFFFFF"/>
                  <w:vAlign w:val="center"/>
                </w:tcPr>
                <w:p>
                  <w:pPr>
                    <w:pStyle w:val="53"/>
                    <w:jc w:val="center"/>
                    <w:rPr>
                      <w:sz w:val="18"/>
                      <w:szCs w:val="18"/>
                    </w:rPr>
                  </w:pPr>
                </w:p>
              </w:tc>
              <w:tc>
                <w:tcPr>
                  <w:tcW w:w="1312" w:type="dxa"/>
                  <w:vMerge w:val="continue"/>
                  <w:shd w:val="clear" w:color="auto" w:fill="FFFFFF"/>
                  <w:vAlign w:val="center"/>
                </w:tcPr>
                <w:p>
                  <w:pPr>
                    <w:pStyle w:val="53"/>
                    <w:jc w:val="center"/>
                    <w:rPr>
                      <w:sz w:val="18"/>
                      <w:szCs w:val="18"/>
                    </w:rPr>
                  </w:pPr>
                </w:p>
              </w:tc>
              <w:tc>
                <w:tcPr>
                  <w:tcW w:w="690" w:type="dxa"/>
                  <w:vMerge w:val="continue"/>
                  <w:shd w:val="clear" w:color="auto" w:fill="FFFFFF"/>
                  <w:vAlign w:val="center"/>
                </w:tcPr>
                <w:p>
                  <w:pPr>
                    <w:pStyle w:val="53"/>
                    <w:jc w:val="center"/>
                    <w:rPr>
                      <w:sz w:val="18"/>
                      <w:szCs w:val="18"/>
                    </w:rPr>
                  </w:pPr>
                </w:p>
              </w:tc>
              <w:tc>
                <w:tcPr>
                  <w:tcW w:w="687" w:type="dxa"/>
                  <w:vMerge w:val="continue"/>
                  <w:shd w:val="clear" w:color="auto" w:fill="FFFFFF"/>
                  <w:vAlign w:val="center"/>
                </w:tcPr>
                <w:p>
                  <w:pPr>
                    <w:pStyle w:val="53"/>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restart"/>
                  <w:shd w:val="clear" w:color="auto" w:fill="FFFFFF"/>
                  <w:vAlign w:val="center"/>
                </w:tcPr>
                <w:p>
                  <w:pPr>
                    <w:pStyle w:val="53"/>
                    <w:jc w:val="center"/>
                    <w:rPr>
                      <w:sz w:val="18"/>
                      <w:szCs w:val="18"/>
                    </w:rPr>
                  </w:pPr>
                  <w:r>
                    <w:rPr>
                      <w:sz w:val="18"/>
                      <w:szCs w:val="18"/>
                    </w:rPr>
                    <w:t>环境空气</w:t>
                  </w:r>
                </w:p>
              </w:tc>
              <w:tc>
                <w:tcPr>
                  <w:tcW w:w="1093" w:type="dxa"/>
                  <w:shd w:val="clear" w:color="auto" w:fill="FFFFFF"/>
                  <w:vAlign w:val="center"/>
                </w:tcPr>
                <w:p>
                  <w:pPr>
                    <w:pStyle w:val="53"/>
                    <w:jc w:val="center"/>
                    <w:rPr>
                      <w:sz w:val="18"/>
                      <w:szCs w:val="18"/>
                    </w:rPr>
                  </w:pPr>
                  <w:r>
                    <w:rPr>
                      <w:sz w:val="18"/>
                      <w:szCs w:val="18"/>
                    </w:rPr>
                    <w:t>蕉充村</w:t>
                  </w:r>
                </w:p>
                <w:p>
                  <w:pPr>
                    <w:pStyle w:val="53"/>
                    <w:jc w:val="center"/>
                    <w:rPr>
                      <w:sz w:val="18"/>
                      <w:szCs w:val="18"/>
                    </w:rPr>
                  </w:pPr>
                  <w:r>
                    <w:rPr>
                      <w:sz w:val="18"/>
                      <w:szCs w:val="18"/>
                    </w:rPr>
                    <w:t>居委会</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118.25738311</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29.78621006</w:t>
                  </w:r>
                </w:p>
              </w:tc>
              <w:tc>
                <w:tcPr>
                  <w:tcW w:w="1058" w:type="dxa"/>
                  <w:shd w:val="clear" w:color="auto" w:fill="FFFFFF"/>
                  <w:vAlign w:val="center"/>
                </w:tcPr>
                <w:p>
                  <w:pPr>
                    <w:pStyle w:val="53"/>
                    <w:jc w:val="center"/>
                    <w:rPr>
                      <w:sz w:val="18"/>
                      <w:szCs w:val="18"/>
                    </w:rPr>
                  </w:pPr>
                  <w:r>
                    <w:rPr>
                      <w:sz w:val="18"/>
                      <w:szCs w:val="18"/>
                    </w:rPr>
                    <w:t>约80人</w:t>
                  </w:r>
                </w:p>
              </w:tc>
              <w:tc>
                <w:tcPr>
                  <w:tcW w:w="1312" w:type="dxa"/>
                  <w:vMerge w:val="restart"/>
                  <w:shd w:val="clear" w:color="auto" w:fill="FFFFFF"/>
                  <w:vAlign w:val="center"/>
                </w:tcPr>
                <w:p>
                  <w:pPr>
                    <w:widowControl/>
                    <w:jc w:val="center"/>
                    <w:rPr>
                      <w:sz w:val="18"/>
                      <w:szCs w:val="18"/>
                    </w:rPr>
                  </w:pPr>
                  <w:r>
                    <w:rPr>
                      <w:sz w:val="18"/>
                      <w:szCs w:val="18"/>
                    </w:rPr>
                    <w:t>《环境空气质量标准》（GB3095-2012）</w:t>
                  </w:r>
                </w:p>
                <w:p>
                  <w:pPr>
                    <w:widowControl/>
                    <w:jc w:val="center"/>
                    <w:rPr>
                      <w:sz w:val="18"/>
                      <w:szCs w:val="18"/>
                    </w:rPr>
                  </w:pPr>
                  <w:r>
                    <w:rPr>
                      <w:sz w:val="18"/>
                      <w:szCs w:val="18"/>
                    </w:rPr>
                    <w:t>二级标准</w:t>
                  </w:r>
                </w:p>
              </w:tc>
              <w:tc>
                <w:tcPr>
                  <w:tcW w:w="690" w:type="dxa"/>
                  <w:shd w:val="clear" w:color="auto" w:fill="FFFFFF"/>
                  <w:vAlign w:val="center"/>
                </w:tcPr>
                <w:p>
                  <w:pPr>
                    <w:pStyle w:val="53"/>
                    <w:jc w:val="center"/>
                    <w:rPr>
                      <w:sz w:val="18"/>
                      <w:szCs w:val="18"/>
                    </w:rPr>
                  </w:pPr>
                  <w:r>
                    <w:rPr>
                      <w:sz w:val="18"/>
                      <w:szCs w:val="18"/>
                    </w:rPr>
                    <w:t>北</w:t>
                  </w:r>
                </w:p>
              </w:tc>
              <w:tc>
                <w:tcPr>
                  <w:tcW w:w="687" w:type="dxa"/>
                  <w:shd w:val="clear" w:color="auto" w:fill="FFFFFF"/>
                  <w:vAlign w:val="center"/>
                </w:tcPr>
                <w:p>
                  <w:pPr>
                    <w:pStyle w:val="53"/>
                    <w:jc w:val="center"/>
                    <w:rPr>
                      <w:sz w:val="18"/>
                      <w:szCs w:val="18"/>
                    </w:rPr>
                  </w:pPr>
                  <w:r>
                    <w:rPr>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蕉充安置小区一期</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118.25693786</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29.78446931</w:t>
                  </w:r>
                </w:p>
              </w:tc>
              <w:tc>
                <w:tcPr>
                  <w:tcW w:w="1058" w:type="dxa"/>
                  <w:shd w:val="clear" w:color="auto" w:fill="FFFFFF"/>
                  <w:vAlign w:val="center"/>
                </w:tcPr>
                <w:p>
                  <w:pPr>
                    <w:pStyle w:val="53"/>
                    <w:jc w:val="center"/>
                    <w:rPr>
                      <w:sz w:val="18"/>
                      <w:szCs w:val="18"/>
                    </w:rPr>
                  </w:pPr>
                  <w:r>
                    <w:rPr>
                      <w:sz w:val="18"/>
                      <w:szCs w:val="18"/>
                    </w:rPr>
                    <w:t>约700人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南</w:t>
                  </w:r>
                </w:p>
              </w:tc>
              <w:tc>
                <w:tcPr>
                  <w:tcW w:w="687" w:type="dxa"/>
                  <w:shd w:val="clear" w:color="auto" w:fill="FFFFFF"/>
                  <w:vAlign w:val="center"/>
                </w:tcPr>
                <w:p>
                  <w:pPr>
                    <w:pStyle w:val="53"/>
                    <w:jc w:val="center"/>
                    <w:rPr>
                      <w:sz w:val="18"/>
                      <w:szCs w:val="18"/>
                    </w:rPr>
                  </w:pPr>
                  <w:r>
                    <w:rPr>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蕉充安置小区二期</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118.25728118</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29.78705227</w:t>
                  </w:r>
                </w:p>
              </w:tc>
              <w:tc>
                <w:tcPr>
                  <w:tcW w:w="1058" w:type="dxa"/>
                  <w:shd w:val="clear" w:color="auto" w:fill="FFFFFF"/>
                  <w:vAlign w:val="center"/>
                </w:tcPr>
                <w:p>
                  <w:pPr>
                    <w:pStyle w:val="53"/>
                    <w:jc w:val="center"/>
                    <w:rPr>
                      <w:sz w:val="18"/>
                      <w:szCs w:val="18"/>
                    </w:rPr>
                  </w:pPr>
                  <w:r>
                    <w:rPr>
                      <w:sz w:val="18"/>
                      <w:szCs w:val="18"/>
                    </w:rPr>
                    <w:t>约600人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北</w:t>
                  </w:r>
                </w:p>
              </w:tc>
              <w:tc>
                <w:tcPr>
                  <w:tcW w:w="687" w:type="dxa"/>
                  <w:shd w:val="clear" w:color="auto" w:fill="FFFFFF"/>
                  <w:vAlign w:val="center"/>
                </w:tcPr>
                <w:p>
                  <w:pPr>
                    <w:pStyle w:val="53"/>
                    <w:jc w:val="center"/>
                    <w:rPr>
                      <w:sz w:val="18"/>
                      <w:szCs w:val="18"/>
                    </w:rPr>
                  </w:pPr>
                  <w:r>
                    <w:rPr>
                      <w:sz w:val="18"/>
                      <w:szCs w:val="18"/>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蝶尚雅居</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118.26089144</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29.78758335</w:t>
                  </w:r>
                </w:p>
              </w:tc>
              <w:tc>
                <w:tcPr>
                  <w:tcW w:w="1058" w:type="dxa"/>
                  <w:shd w:val="clear" w:color="auto" w:fill="FFFFFF"/>
                  <w:vAlign w:val="center"/>
                </w:tcPr>
                <w:p>
                  <w:pPr>
                    <w:pStyle w:val="53"/>
                    <w:jc w:val="center"/>
                    <w:rPr>
                      <w:sz w:val="18"/>
                      <w:szCs w:val="18"/>
                    </w:rPr>
                  </w:pPr>
                  <w:r>
                    <w:rPr>
                      <w:sz w:val="18"/>
                      <w:szCs w:val="18"/>
                    </w:rPr>
                    <w:t>约500人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东北</w:t>
                  </w:r>
                </w:p>
              </w:tc>
              <w:tc>
                <w:tcPr>
                  <w:tcW w:w="687" w:type="dxa"/>
                  <w:shd w:val="clear" w:color="auto" w:fill="FFFFFF"/>
                  <w:vAlign w:val="center"/>
                </w:tcPr>
                <w:p>
                  <w:pPr>
                    <w:pStyle w:val="53"/>
                    <w:jc w:val="center"/>
                    <w:rPr>
                      <w:sz w:val="18"/>
                      <w:szCs w:val="18"/>
                    </w:rPr>
                  </w:pPr>
                  <w:r>
                    <w:rPr>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梅林国际</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118.26011896</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29.78398919</w:t>
                  </w:r>
                </w:p>
              </w:tc>
              <w:tc>
                <w:tcPr>
                  <w:tcW w:w="1058" w:type="dxa"/>
                  <w:shd w:val="clear" w:color="auto" w:fill="FFFFFF"/>
                  <w:vAlign w:val="center"/>
                </w:tcPr>
                <w:p>
                  <w:pPr>
                    <w:pStyle w:val="53"/>
                    <w:jc w:val="center"/>
                    <w:rPr>
                      <w:sz w:val="18"/>
                      <w:szCs w:val="18"/>
                    </w:rPr>
                  </w:pPr>
                  <w:r>
                    <w:rPr>
                      <w:sz w:val="18"/>
                      <w:szCs w:val="18"/>
                    </w:rPr>
                    <w:t>约700人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东</w:t>
                  </w:r>
                </w:p>
              </w:tc>
              <w:tc>
                <w:tcPr>
                  <w:tcW w:w="687" w:type="dxa"/>
                  <w:shd w:val="clear" w:color="auto" w:fill="FFFFFF"/>
                  <w:vAlign w:val="center"/>
                </w:tcPr>
                <w:p>
                  <w:pPr>
                    <w:pStyle w:val="53"/>
                    <w:jc w:val="center"/>
                    <w:rPr>
                      <w:sz w:val="18"/>
                      <w:szCs w:val="18"/>
                    </w:rPr>
                  </w:pPr>
                  <w:r>
                    <w:rPr>
                      <w:sz w:val="18"/>
                      <w:szCs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浩创城·</w:t>
                  </w:r>
                </w:p>
                <w:p>
                  <w:pPr>
                    <w:pStyle w:val="53"/>
                    <w:jc w:val="center"/>
                    <w:rPr>
                      <w:sz w:val="18"/>
                      <w:szCs w:val="18"/>
                    </w:rPr>
                  </w:pPr>
                  <w:r>
                    <w:rPr>
                      <w:sz w:val="18"/>
                      <w:szCs w:val="18"/>
                    </w:rPr>
                    <w:t>天雅居</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118.26021552</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29.78205800</w:t>
                  </w:r>
                </w:p>
              </w:tc>
              <w:tc>
                <w:tcPr>
                  <w:tcW w:w="1058" w:type="dxa"/>
                  <w:shd w:val="clear" w:color="auto" w:fill="FFFFFF"/>
                  <w:vAlign w:val="center"/>
                </w:tcPr>
                <w:p>
                  <w:pPr>
                    <w:pStyle w:val="53"/>
                    <w:jc w:val="center"/>
                    <w:rPr>
                      <w:sz w:val="18"/>
                      <w:szCs w:val="18"/>
                    </w:rPr>
                  </w:pPr>
                  <w:r>
                    <w:rPr>
                      <w:sz w:val="18"/>
                      <w:szCs w:val="18"/>
                    </w:rPr>
                    <w:t>约600人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东南</w:t>
                  </w:r>
                </w:p>
              </w:tc>
              <w:tc>
                <w:tcPr>
                  <w:tcW w:w="687" w:type="dxa"/>
                  <w:shd w:val="clear" w:color="auto" w:fill="FFFFFF"/>
                  <w:vAlign w:val="center"/>
                </w:tcPr>
                <w:p>
                  <w:pPr>
                    <w:pStyle w:val="53"/>
                    <w:jc w:val="center"/>
                    <w:rPr>
                      <w:sz w:val="18"/>
                      <w:szCs w:val="18"/>
                    </w:rPr>
                  </w:pPr>
                  <w:r>
                    <w:rPr>
                      <w:sz w:val="18"/>
                      <w:szCs w:val="18"/>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restart"/>
                  <w:shd w:val="clear" w:color="auto" w:fill="FFFFFF"/>
                  <w:vAlign w:val="center"/>
                </w:tcPr>
                <w:p>
                  <w:pPr>
                    <w:pStyle w:val="53"/>
                    <w:jc w:val="center"/>
                    <w:rPr>
                      <w:sz w:val="18"/>
                      <w:szCs w:val="18"/>
                    </w:rPr>
                  </w:pPr>
                  <w:r>
                    <w:rPr>
                      <w:sz w:val="18"/>
                      <w:szCs w:val="18"/>
                    </w:rPr>
                    <w:t>声环境</w:t>
                  </w:r>
                </w:p>
              </w:tc>
              <w:tc>
                <w:tcPr>
                  <w:tcW w:w="1093" w:type="dxa"/>
                  <w:shd w:val="clear" w:color="auto" w:fill="FFFFFF"/>
                  <w:vAlign w:val="center"/>
                </w:tcPr>
                <w:p>
                  <w:pPr>
                    <w:pStyle w:val="53"/>
                    <w:jc w:val="center"/>
                    <w:rPr>
                      <w:sz w:val="18"/>
                      <w:szCs w:val="18"/>
                    </w:rPr>
                  </w:pPr>
                  <w:r>
                    <w:rPr>
                      <w:sz w:val="18"/>
                      <w:szCs w:val="18"/>
                    </w:rPr>
                    <w:t>蕉充村</w:t>
                  </w:r>
                </w:p>
                <w:p>
                  <w:pPr>
                    <w:pStyle w:val="53"/>
                    <w:jc w:val="center"/>
                    <w:rPr>
                      <w:sz w:val="18"/>
                      <w:szCs w:val="18"/>
                    </w:rPr>
                  </w:pPr>
                  <w:r>
                    <w:rPr>
                      <w:sz w:val="18"/>
                      <w:szCs w:val="18"/>
                    </w:rPr>
                    <w:t>居委会</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118.25738311</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29.78621006</w:t>
                  </w:r>
                </w:p>
              </w:tc>
              <w:tc>
                <w:tcPr>
                  <w:tcW w:w="1058" w:type="dxa"/>
                  <w:shd w:val="clear" w:color="auto" w:fill="FFFFFF"/>
                  <w:vAlign w:val="center"/>
                </w:tcPr>
                <w:p>
                  <w:pPr>
                    <w:pStyle w:val="53"/>
                    <w:jc w:val="center"/>
                    <w:rPr>
                      <w:sz w:val="18"/>
                      <w:szCs w:val="18"/>
                    </w:rPr>
                  </w:pPr>
                  <w:r>
                    <w:rPr>
                      <w:sz w:val="18"/>
                      <w:szCs w:val="18"/>
                    </w:rPr>
                    <w:t>约80人</w:t>
                  </w:r>
                </w:p>
              </w:tc>
              <w:tc>
                <w:tcPr>
                  <w:tcW w:w="1312" w:type="dxa"/>
                  <w:vMerge w:val="restart"/>
                  <w:shd w:val="clear" w:color="auto" w:fill="FFFFFF"/>
                  <w:vAlign w:val="center"/>
                </w:tcPr>
                <w:p>
                  <w:pPr>
                    <w:widowControl/>
                    <w:jc w:val="center"/>
                    <w:rPr>
                      <w:sz w:val="18"/>
                      <w:szCs w:val="18"/>
                    </w:rPr>
                  </w:pPr>
                  <w:r>
                    <w:rPr>
                      <w:color w:val="000000"/>
                      <w:kern w:val="0"/>
                      <w:sz w:val="18"/>
                      <w:szCs w:val="18"/>
                    </w:rPr>
                    <w:t>《声环境质量标准》（GB3096-2008）2类</w:t>
                  </w:r>
                </w:p>
              </w:tc>
              <w:tc>
                <w:tcPr>
                  <w:tcW w:w="690" w:type="dxa"/>
                  <w:shd w:val="clear" w:color="auto" w:fill="FFFFFF"/>
                  <w:vAlign w:val="center"/>
                </w:tcPr>
                <w:p>
                  <w:pPr>
                    <w:pStyle w:val="53"/>
                    <w:jc w:val="center"/>
                    <w:rPr>
                      <w:sz w:val="18"/>
                      <w:szCs w:val="18"/>
                    </w:rPr>
                  </w:pPr>
                  <w:r>
                    <w:rPr>
                      <w:sz w:val="18"/>
                      <w:szCs w:val="18"/>
                    </w:rPr>
                    <w:t>北</w:t>
                  </w:r>
                </w:p>
              </w:tc>
              <w:tc>
                <w:tcPr>
                  <w:tcW w:w="687" w:type="dxa"/>
                  <w:shd w:val="clear" w:color="auto" w:fill="FFFFFF"/>
                  <w:vAlign w:val="center"/>
                </w:tcPr>
                <w:p>
                  <w:pPr>
                    <w:pStyle w:val="53"/>
                    <w:jc w:val="center"/>
                    <w:rPr>
                      <w:sz w:val="18"/>
                      <w:szCs w:val="18"/>
                    </w:rPr>
                  </w:pPr>
                  <w:r>
                    <w:rPr>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vMerge w:val="continue"/>
                  <w:shd w:val="clear" w:color="auto" w:fill="FFFFFF"/>
                  <w:vAlign w:val="center"/>
                </w:tcPr>
                <w:p>
                  <w:pPr>
                    <w:pStyle w:val="53"/>
                    <w:jc w:val="center"/>
                    <w:rPr>
                      <w:sz w:val="18"/>
                      <w:szCs w:val="18"/>
                    </w:rPr>
                  </w:pPr>
                </w:p>
              </w:tc>
              <w:tc>
                <w:tcPr>
                  <w:tcW w:w="1093" w:type="dxa"/>
                  <w:shd w:val="clear" w:color="auto" w:fill="FFFFFF"/>
                  <w:vAlign w:val="center"/>
                </w:tcPr>
                <w:p>
                  <w:pPr>
                    <w:pStyle w:val="53"/>
                    <w:jc w:val="center"/>
                    <w:rPr>
                      <w:sz w:val="18"/>
                      <w:szCs w:val="18"/>
                    </w:rPr>
                  </w:pPr>
                  <w:r>
                    <w:rPr>
                      <w:sz w:val="18"/>
                      <w:szCs w:val="18"/>
                    </w:rPr>
                    <w:t>蕉充安置小区一期</w:t>
                  </w:r>
                </w:p>
              </w:tc>
              <w:tc>
                <w:tcPr>
                  <w:tcW w:w="1290"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118.25693786</w:t>
                  </w:r>
                </w:p>
              </w:tc>
              <w:tc>
                <w:tcPr>
                  <w:tcW w:w="1185" w:type="dxa"/>
                  <w:shd w:val="clear" w:color="auto" w:fill="FFFFFF"/>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29.78446931</w:t>
                  </w:r>
                </w:p>
              </w:tc>
              <w:tc>
                <w:tcPr>
                  <w:tcW w:w="1058" w:type="dxa"/>
                  <w:shd w:val="clear" w:color="auto" w:fill="FFFFFF"/>
                  <w:vAlign w:val="center"/>
                </w:tcPr>
                <w:p>
                  <w:pPr>
                    <w:pStyle w:val="53"/>
                    <w:jc w:val="center"/>
                    <w:rPr>
                      <w:sz w:val="18"/>
                      <w:szCs w:val="18"/>
                    </w:rPr>
                  </w:pPr>
                  <w:r>
                    <w:rPr>
                      <w:sz w:val="18"/>
                      <w:szCs w:val="18"/>
                    </w:rPr>
                    <w:t>约700人</w:t>
                  </w:r>
                </w:p>
              </w:tc>
              <w:tc>
                <w:tcPr>
                  <w:tcW w:w="1312" w:type="dxa"/>
                  <w:vMerge w:val="continue"/>
                  <w:shd w:val="clear" w:color="auto" w:fill="FFFFFF"/>
                  <w:vAlign w:val="center"/>
                </w:tcPr>
                <w:p>
                  <w:pPr>
                    <w:pStyle w:val="53"/>
                    <w:jc w:val="center"/>
                    <w:rPr>
                      <w:sz w:val="18"/>
                      <w:szCs w:val="18"/>
                    </w:rPr>
                  </w:pPr>
                </w:p>
              </w:tc>
              <w:tc>
                <w:tcPr>
                  <w:tcW w:w="690" w:type="dxa"/>
                  <w:shd w:val="clear" w:color="auto" w:fill="FFFFFF"/>
                  <w:vAlign w:val="center"/>
                </w:tcPr>
                <w:p>
                  <w:pPr>
                    <w:pStyle w:val="53"/>
                    <w:jc w:val="center"/>
                    <w:rPr>
                      <w:sz w:val="18"/>
                      <w:szCs w:val="18"/>
                    </w:rPr>
                  </w:pPr>
                  <w:r>
                    <w:rPr>
                      <w:sz w:val="18"/>
                      <w:szCs w:val="18"/>
                    </w:rPr>
                    <w:t>南</w:t>
                  </w:r>
                </w:p>
              </w:tc>
              <w:tc>
                <w:tcPr>
                  <w:tcW w:w="687" w:type="dxa"/>
                  <w:shd w:val="clear" w:color="auto" w:fill="FFFFFF"/>
                  <w:vAlign w:val="center"/>
                </w:tcPr>
                <w:p>
                  <w:pPr>
                    <w:pStyle w:val="53"/>
                    <w:jc w:val="center"/>
                    <w:rPr>
                      <w:sz w:val="18"/>
                      <w:szCs w:val="18"/>
                    </w:rPr>
                  </w:pPr>
                  <w:r>
                    <w:rPr>
                      <w:sz w:val="18"/>
                      <w:szCs w:val="18"/>
                    </w:rPr>
                    <w:t>5</w:t>
                  </w:r>
                </w:p>
              </w:tc>
            </w:tr>
          </w:tbl>
          <w:p>
            <w:pPr>
              <w:pStyle w:val="6"/>
              <w:keepNext/>
              <w:keepLines/>
              <w:pageBreakBefore w:val="0"/>
              <w:widowControl w:val="0"/>
              <w:kinsoku/>
              <w:wordWrap/>
              <w:overflowPunct/>
              <w:topLinePunct w:val="0"/>
              <w:autoSpaceDE/>
              <w:autoSpaceDN/>
              <w:bidi w:val="0"/>
              <w:adjustRightInd/>
              <w:snapToGrid/>
              <w:spacing w:before="313" w:beforeLines="100" w:after="0" w:line="240" w:lineRule="auto"/>
              <w:jc w:val="center"/>
              <w:textAlignment w:val="auto"/>
              <w:rPr>
                <w:rFonts w:ascii="Times New Roman" w:hAnsi="Times New Roman" w:eastAsia="宋体"/>
                <w:b w:val="0"/>
                <w:bCs w:val="0"/>
                <w:sz w:val="24"/>
                <w:szCs w:val="24"/>
              </w:rPr>
            </w:pPr>
            <w:r>
              <w:rPr>
                <w:rFonts w:eastAsia="宋体"/>
                <w:b w:val="0"/>
                <w:bCs w:val="0"/>
              </w:rPr>
              <w:pict>
                <v:shape id="_x0000_s1103" o:spid="_x0000_s1103" o:spt="75" alt="指北" type="#_x0000_t75" style="position:absolute;left:0pt;margin-left:334.25pt;margin-top:14.05pt;height:48pt;width:50.25pt;z-index:251660288;mso-width-relative:page;mso-height-relative:page;" filled="f" o:preferrelative="t" stroked="f" coordsize="21600,21600">
                  <v:path/>
                  <v:fill on="f" focussize="0,0"/>
                  <v:stroke on="f"/>
                  <v:imagedata r:id="rId21" o:title="指北"/>
                  <o:lock v:ext="edit" aspectratio="t"/>
                </v:shape>
              </w:pict>
            </w:r>
            <w:r>
              <w:rPr>
                <w:rFonts w:ascii="Times New Roman" w:hAnsi="Times New Roman" w:eastAsia="宋体"/>
                <w:b w:val="0"/>
                <w:bCs w:val="0"/>
                <w:sz w:val="24"/>
                <w:szCs w:val="24"/>
              </w:rPr>
              <w:pict>
                <v:shape id="_x0000_i1028" o:spt="75" type="#_x0000_t75" style="height:363.65pt;width:377.25pt;" filled="f" o:preferrelative="t" stroked="f" coordsize="21600,21600">
                  <v:path/>
                  <v:fill on="f" focussize="0,0"/>
                  <v:stroke on="f"/>
                  <v:imagedata r:id="rId22" o:title=""/>
                  <o:lock v:ext="edit" aspectratio="t"/>
                  <w10:wrap type="none"/>
                  <w10:anchorlock/>
                </v:shape>
              </w:pict>
            </w:r>
          </w:p>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sz w:val="24"/>
                <w:szCs w:val="24"/>
              </w:rPr>
            </w:pPr>
            <w:r>
              <w:rPr>
                <w:rFonts w:ascii="Times New Roman" w:hAnsi="Times New Roman" w:eastAsia="宋体"/>
                <w:sz w:val="24"/>
                <w:szCs w:val="24"/>
              </w:rPr>
              <w:t xml:space="preserve">3-2  </w:t>
            </w:r>
            <w:r>
              <w:rPr>
                <w:rFonts w:ascii="Times New Roman" w:hAnsi="Times New Roman" w:eastAsia="宋体"/>
                <w:sz w:val="24"/>
              </w:rPr>
              <w:t>项目环境保护目标分布图</w:t>
            </w:r>
          </w:p>
          <w:p>
            <w:pPr>
              <w:adjustRightInd w:val="0"/>
              <w:snapToGrid w:val="0"/>
              <w:jc w:val="both"/>
              <w:rPr>
                <w:sz w:val="24"/>
              </w:rPr>
            </w:pPr>
          </w:p>
          <w:p>
            <w:pPr>
              <w:pStyle w:val="2"/>
              <w:spacing w:line="240" w:lineRule="auto"/>
              <w:ind w:firstLine="0" w:firstLineChars="0"/>
              <w:jc w:val="both"/>
              <w:rPr>
                <w:rFonts w:ascii="宋体" w:hAnsi="宋体" w:cs="宋体"/>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800" w:type="dxa"/>
            <w:tcBorders>
              <w:bottom w:val="single" w:color="auto" w:sz="8" w:space="0"/>
            </w:tcBorders>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tcBorders>
              <w:bottom w:val="single" w:color="auto" w:sz="8" w:space="0"/>
            </w:tcBorders>
            <w:vAlign w:val="center"/>
          </w:tcPr>
          <w:p>
            <w:pPr>
              <w:spacing w:line="360" w:lineRule="auto"/>
              <w:rPr>
                <w:b/>
                <w:sz w:val="28"/>
                <w:szCs w:val="28"/>
              </w:rPr>
            </w:pPr>
            <w:r>
              <w:rPr>
                <w:b/>
                <w:sz w:val="28"/>
                <w:szCs w:val="28"/>
              </w:rPr>
              <w:t>1、废气</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氯化氢、</w:t>
            </w:r>
            <w:r>
              <w:rPr>
                <w:rFonts w:hint="default" w:ascii="Times New Roman" w:hAnsi="Times New Roman" w:cs="Times New Roman"/>
                <w:color w:val="auto"/>
                <w:sz w:val="24"/>
              </w:rPr>
              <w:t>硫酸雾</w:t>
            </w:r>
            <w:r>
              <w:rPr>
                <w:rFonts w:hint="eastAsia" w:ascii="Times New Roman" w:hAnsi="Times New Roman" w:cs="Times New Roman"/>
                <w:color w:val="auto"/>
                <w:sz w:val="24"/>
                <w:lang w:eastAsia="zh-CN"/>
              </w:rPr>
              <w:t>有组织</w:t>
            </w:r>
            <w:r>
              <w:rPr>
                <w:rFonts w:hint="default" w:ascii="Times New Roman" w:hAnsi="Times New Roman" w:cs="Times New Roman"/>
                <w:color w:val="auto"/>
                <w:sz w:val="24"/>
              </w:rPr>
              <w:t>排放执行《大气污染物综合排放标准》 （GB16297-1996）表2中</w:t>
            </w:r>
            <w:r>
              <w:rPr>
                <w:rFonts w:hint="eastAsia" w:ascii="Times New Roman" w:hAnsi="Times New Roman" w:cs="Times New Roman"/>
                <w:color w:val="auto"/>
                <w:sz w:val="24"/>
                <w:lang w:eastAsia="zh-CN"/>
              </w:rPr>
              <w:t>二级</w:t>
            </w:r>
            <w:r>
              <w:rPr>
                <w:rFonts w:hint="default" w:ascii="Times New Roman" w:hAnsi="Times New Roman" w:cs="Times New Roman"/>
                <w:color w:val="auto"/>
                <w:sz w:val="24"/>
              </w:rPr>
              <w:t>标准。</w:t>
            </w:r>
            <w:r>
              <w:rPr>
                <w:rFonts w:hint="default" w:ascii="Times New Roman" w:hAnsi="Times New Roman" w:cs="Times New Roman"/>
                <w:color w:val="auto"/>
                <w:sz w:val="24"/>
                <w:lang w:val="zh-CN"/>
              </w:rPr>
              <w:t>具体见</w:t>
            </w:r>
            <w:r>
              <w:rPr>
                <w:rFonts w:hint="eastAsia" w:cs="Times New Roman"/>
                <w:color w:val="auto"/>
                <w:sz w:val="24"/>
                <w:lang w:val="en-US" w:eastAsia="zh-CN"/>
              </w:rPr>
              <w:t>下表</w:t>
            </w:r>
            <w:r>
              <w:rPr>
                <w:rFonts w:hint="default" w:ascii="Times New Roman" w:hAnsi="Times New Roman" w:cs="Times New Roman"/>
                <w:color w:val="auto"/>
                <w:sz w:val="24"/>
                <w:lang w:val="zh-CN"/>
              </w:rPr>
              <w:t>。</w:t>
            </w:r>
          </w:p>
          <w:p>
            <w:pPr>
              <w:ind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-4 大气污染物综合排放标准</w:t>
            </w:r>
          </w:p>
          <w:tbl>
            <w:tblPr>
              <w:tblStyle w:val="21"/>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6"/>
              <w:gridCol w:w="1509"/>
              <w:gridCol w:w="1147"/>
              <w:gridCol w:w="1339"/>
              <w:gridCol w:w="166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745" w:type="pct"/>
                  <w:vMerge w:val="restart"/>
                  <w:tcBorders>
                    <w:top w:val="single" w:color="auto" w:sz="4" w:space="0"/>
                    <w:left w:val="single" w:color="auto" w:sz="4" w:space="0"/>
                    <w:right w:val="single" w:color="auto" w:sz="4" w:space="0"/>
                  </w:tcBorders>
                  <w:noWrap w:val="0"/>
                  <w:vAlign w:val="center"/>
                </w:tcPr>
                <w:p>
                  <w:pPr>
                    <w:jc w:val="center"/>
                    <w:rPr>
                      <w:b/>
                      <w:bCs/>
                      <w:color w:val="auto"/>
                      <w:szCs w:val="21"/>
                    </w:rPr>
                  </w:pPr>
                  <w:r>
                    <w:rPr>
                      <w:rFonts w:hint="eastAsia"/>
                      <w:b/>
                      <w:bCs/>
                      <w:color w:val="auto"/>
                    </w:rPr>
                    <w:t>污染物</w:t>
                  </w:r>
                </w:p>
              </w:tc>
              <w:tc>
                <w:tcPr>
                  <w:tcW w:w="956" w:type="pct"/>
                  <w:vMerge w:val="restart"/>
                  <w:tcBorders>
                    <w:top w:val="single" w:color="auto" w:sz="4" w:space="0"/>
                    <w:left w:val="nil"/>
                    <w:right w:val="single" w:color="auto" w:sz="4" w:space="0"/>
                  </w:tcBorders>
                  <w:noWrap w:val="0"/>
                  <w:vAlign w:val="center"/>
                </w:tcPr>
                <w:p>
                  <w:pPr>
                    <w:jc w:val="center"/>
                    <w:rPr>
                      <w:rFonts w:hint="default" w:eastAsia="宋体"/>
                      <w:b/>
                      <w:bCs/>
                      <w:color w:val="auto"/>
                      <w:szCs w:val="21"/>
                      <w:vertAlign w:val="superscript"/>
                      <w:lang w:val="en-US" w:eastAsia="zh-CN"/>
                    </w:rPr>
                  </w:pPr>
                  <w:r>
                    <w:rPr>
                      <w:rFonts w:hint="eastAsia"/>
                      <w:b/>
                      <w:bCs/>
                      <w:color w:val="auto"/>
                      <w:lang w:eastAsia="zh-CN"/>
                    </w:rPr>
                    <w:t>最高允许排放</w:t>
                  </w:r>
                  <w:r>
                    <w:rPr>
                      <w:rFonts w:hint="eastAsia"/>
                      <w:b/>
                      <w:bCs/>
                      <w:color w:val="auto"/>
                    </w:rPr>
                    <w:t>浓度</w:t>
                  </w:r>
                  <w:r>
                    <w:rPr>
                      <w:rFonts w:hint="eastAsia"/>
                      <w:b/>
                      <w:bCs/>
                      <w:color w:val="auto"/>
                      <w:lang w:val="en-US" w:eastAsia="zh-CN"/>
                    </w:rPr>
                    <w:t>mg/m</w:t>
                  </w:r>
                  <w:r>
                    <w:rPr>
                      <w:rFonts w:hint="eastAsia"/>
                      <w:b/>
                      <w:bCs/>
                      <w:color w:val="auto"/>
                      <w:vertAlign w:val="superscript"/>
                      <w:lang w:val="en-US" w:eastAsia="zh-CN"/>
                    </w:rPr>
                    <w:t>3</w:t>
                  </w:r>
                </w:p>
              </w:tc>
              <w:tc>
                <w:tcPr>
                  <w:tcW w:w="1576" w:type="pct"/>
                  <w:gridSpan w:val="2"/>
                  <w:tcBorders>
                    <w:top w:val="single" w:color="auto" w:sz="4" w:space="0"/>
                    <w:left w:val="nil"/>
                    <w:bottom w:val="single" w:color="auto" w:sz="4" w:space="0"/>
                    <w:right w:val="single" w:color="auto" w:sz="4" w:space="0"/>
                  </w:tcBorders>
                  <w:noWrap w:val="0"/>
                  <w:vAlign w:val="center"/>
                </w:tcPr>
                <w:p>
                  <w:pPr>
                    <w:jc w:val="center"/>
                    <w:rPr>
                      <w:rFonts w:hint="default" w:eastAsia="宋体"/>
                      <w:b/>
                      <w:bCs/>
                      <w:color w:val="auto"/>
                      <w:szCs w:val="21"/>
                      <w:lang w:val="en-US" w:eastAsia="zh-CN"/>
                    </w:rPr>
                  </w:pPr>
                  <w:r>
                    <w:rPr>
                      <w:rFonts w:hint="eastAsia"/>
                      <w:b/>
                      <w:bCs/>
                      <w:color w:val="auto"/>
                      <w:lang w:eastAsia="zh-CN"/>
                    </w:rPr>
                    <w:t>最高允许排放速率（</w:t>
                  </w:r>
                  <w:r>
                    <w:rPr>
                      <w:rFonts w:hint="eastAsia"/>
                      <w:b/>
                      <w:bCs/>
                      <w:color w:val="auto"/>
                      <w:lang w:val="en-US" w:eastAsia="zh-CN"/>
                    </w:rPr>
                    <w:t>kg/h</w:t>
                  </w:r>
                  <w:r>
                    <w:rPr>
                      <w:rFonts w:hint="eastAsia"/>
                      <w:b/>
                      <w:bCs/>
                      <w:color w:val="auto"/>
                      <w:lang w:eastAsia="zh-CN"/>
                    </w:rPr>
                    <w:t>）</w:t>
                  </w:r>
                </w:p>
              </w:tc>
              <w:tc>
                <w:tcPr>
                  <w:tcW w:w="1721" w:type="pct"/>
                  <w:gridSpan w:val="2"/>
                  <w:tcBorders>
                    <w:top w:val="single" w:color="auto" w:sz="4" w:space="0"/>
                    <w:left w:val="nil"/>
                    <w:bottom w:val="single" w:color="auto" w:sz="4" w:space="0"/>
                    <w:right w:val="single" w:color="auto" w:sz="4" w:space="0"/>
                  </w:tcBorders>
                  <w:noWrap w:val="0"/>
                  <w:vAlign w:val="center"/>
                </w:tcPr>
                <w:p>
                  <w:pPr>
                    <w:jc w:val="center"/>
                    <w:rPr>
                      <w:rFonts w:hint="eastAsia" w:eastAsia="宋体"/>
                      <w:b/>
                      <w:bCs/>
                      <w:color w:val="auto"/>
                      <w:lang w:eastAsia="zh-CN"/>
                    </w:rPr>
                  </w:pPr>
                  <w:r>
                    <w:rPr>
                      <w:rFonts w:hint="eastAsia"/>
                      <w:b/>
                      <w:bCs/>
                      <w:color w:val="auto"/>
                      <w:lang w:eastAsia="zh-CN"/>
                    </w:rPr>
                    <w:t>无组织排放监控浓度限值</w:t>
                  </w:r>
                  <w:r>
                    <w:rPr>
                      <w:rFonts w:hint="eastAsia"/>
                      <w:b/>
                      <w:bCs/>
                      <w:color w:val="auto"/>
                      <w:lang w:val="en-US" w:eastAsia="zh-CN"/>
                    </w:rPr>
                    <w:t>mg/m</w:t>
                  </w:r>
                  <w:r>
                    <w:rPr>
                      <w:rFonts w:hint="eastAsia"/>
                      <w:b/>
                      <w:bCs/>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745" w:type="pct"/>
                  <w:vMerge w:val="continue"/>
                  <w:tcBorders>
                    <w:left w:val="single" w:color="auto" w:sz="4" w:space="0"/>
                    <w:bottom w:val="single" w:color="auto" w:sz="4" w:space="0"/>
                    <w:right w:val="single" w:color="auto" w:sz="4" w:space="0"/>
                  </w:tcBorders>
                  <w:noWrap w:val="0"/>
                  <w:vAlign w:val="center"/>
                </w:tcPr>
                <w:p>
                  <w:pPr>
                    <w:jc w:val="center"/>
                    <w:rPr>
                      <w:rFonts w:hint="eastAsia"/>
                      <w:b/>
                      <w:bCs/>
                      <w:color w:val="auto"/>
                    </w:rPr>
                  </w:pPr>
                </w:p>
              </w:tc>
              <w:tc>
                <w:tcPr>
                  <w:tcW w:w="956" w:type="pct"/>
                  <w:vMerge w:val="continue"/>
                  <w:tcBorders>
                    <w:left w:val="nil"/>
                    <w:bottom w:val="single" w:color="auto" w:sz="4" w:space="0"/>
                    <w:right w:val="single" w:color="auto" w:sz="4" w:space="0"/>
                  </w:tcBorders>
                  <w:noWrap w:val="0"/>
                  <w:vAlign w:val="center"/>
                </w:tcPr>
                <w:p>
                  <w:pPr>
                    <w:jc w:val="center"/>
                    <w:rPr>
                      <w:rFonts w:hint="eastAsia"/>
                      <w:b/>
                      <w:bCs/>
                      <w:color w:val="auto"/>
                    </w:rPr>
                  </w:pPr>
                </w:p>
              </w:tc>
              <w:tc>
                <w:tcPr>
                  <w:tcW w:w="727" w:type="pct"/>
                  <w:tcBorders>
                    <w:top w:val="single" w:color="auto" w:sz="4" w:space="0"/>
                    <w:left w:val="nil"/>
                    <w:bottom w:val="single" w:color="auto" w:sz="4" w:space="0"/>
                    <w:right w:val="single" w:color="auto" w:sz="4" w:space="0"/>
                  </w:tcBorders>
                  <w:noWrap w:val="0"/>
                  <w:vAlign w:val="center"/>
                </w:tcPr>
                <w:p>
                  <w:pPr>
                    <w:jc w:val="center"/>
                    <w:rPr>
                      <w:rFonts w:hint="eastAsia" w:eastAsia="宋体"/>
                      <w:b/>
                      <w:bCs/>
                      <w:color w:val="auto"/>
                      <w:lang w:eastAsia="zh-CN"/>
                    </w:rPr>
                  </w:pPr>
                  <w:r>
                    <w:rPr>
                      <w:rFonts w:hint="eastAsia"/>
                      <w:b/>
                      <w:bCs/>
                      <w:color w:val="auto"/>
                      <w:lang w:eastAsia="zh-CN"/>
                    </w:rPr>
                    <w:t>排气筒高度</w:t>
                  </w:r>
                </w:p>
              </w:tc>
              <w:tc>
                <w:tcPr>
                  <w:tcW w:w="848" w:type="pct"/>
                  <w:tcBorders>
                    <w:top w:val="single" w:color="auto" w:sz="4" w:space="0"/>
                    <w:left w:val="nil"/>
                    <w:bottom w:val="single" w:color="auto" w:sz="4" w:space="0"/>
                    <w:right w:val="single" w:color="auto" w:sz="4" w:space="0"/>
                  </w:tcBorders>
                  <w:noWrap w:val="0"/>
                  <w:vAlign w:val="center"/>
                </w:tcPr>
                <w:p>
                  <w:pPr>
                    <w:jc w:val="center"/>
                    <w:rPr>
                      <w:rFonts w:hint="eastAsia" w:eastAsia="宋体"/>
                      <w:b/>
                      <w:bCs/>
                      <w:color w:val="auto"/>
                      <w:lang w:eastAsia="zh-CN"/>
                    </w:rPr>
                  </w:pPr>
                  <w:r>
                    <w:rPr>
                      <w:rFonts w:hint="eastAsia"/>
                      <w:b/>
                      <w:bCs/>
                      <w:color w:val="auto"/>
                      <w:lang w:eastAsia="zh-CN"/>
                    </w:rPr>
                    <w:t>二级</w:t>
                  </w:r>
                </w:p>
              </w:tc>
              <w:tc>
                <w:tcPr>
                  <w:tcW w:w="1055" w:type="pct"/>
                  <w:tcBorders>
                    <w:top w:val="single" w:color="auto" w:sz="4" w:space="0"/>
                    <w:left w:val="nil"/>
                    <w:bottom w:val="single" w:color="auto" w:sz="4" w:space="0"/>
                    <w:right w:val="single" w:color="auto" w:sz="4" w:space="0"/>
                  </w:tcBorders>
                  <w:noWrap w:val="0"/>
                  <w:vAlign w:val="center"/>
                </w:tcPr>
                <w:p>
                  <w:pPr>
                    <w:jc w:val="center"/>
                    <w:rPr>
                      <w:rFonts w:hint="eastAsia" w:eastAsia="宋体"/>
                      <w:b/>
                      <w:bCs/>
                      <w:color w:val="auto"/>
                      <w:lang w:eastAsia="zh-CN"/>
                    </w:rPr>
                  </w:pPr>
                  <w:r>
                    <w:rPr>
                      <w:rFonts w:hint="eastAsia"/>
                      <w:b/>
                      <w:bCs/>
                      <w:color w:val="auto"/>
                      <w:lang w:eastAsia="zh-CN"/>
                    </w:rPr>
                    <w:t>监控点</w:t>
                  </w:r>
                </w:p>
              </w:tc>
              <w:tc>
                <w:tcPr>
                  <w:tcW w:w="666" w:type="pct"/>
                  <w:tcBorders>
                    <w:top w:val="single" w:color="auto" w:sz="4" w:space="0"/>
                    <w:left w:val="nil"/>
                    <w:bottom w:val="single" w:color="auto" w:sz="4" w:space="0"/>
                    <w:right w:val="single" w:color="auto" w:sz="4" w:space="0"/>
                  </w:tcBorders>
                  <w:noWrap w:val="0"/>
                  <w:vAlign w:val="center"/>
                </w:tcPr>
                <w:p>
                  <w:pPr>
                    <w:jc w:val="center"/>
                    <w:rPr>
                      <w:rFonts w:hint="eastAsia" w:eastAsia="宋体"/>
                      <w:b/>
                      <w:bCs/>
                      <w:color w:val="auto"/>
                      <w:lang w:eastAsia="zh-CN"/>
                    </w:rPr>
                  </w:pPr>
                  <w:r>
                    <w:rPr>
                      <w:rFonts w:hint="eastAsia"/>
                      <w:b/>
                      <w:bCs/>
                      <w:color w:val="auto"/>
                      <w:lang w:eastAsia="zh-CN"/>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kern w:val="2"/>
                      <w:sz w:val="21"/>
                      <w:szCs w:val="24"/>
                      <w:lang w:val="en-US" w:eastAsia="zh-CN" w:bidi="ar-SA"/>
                    </w:rPr>
                  </w:pPr>
                  <w:r>
                    <w:rPr>
                      <w:rFonts w:hint="eastAsia"/>
                      <w:color w:val="auto"/>
                      <w:lang w:val="en-US" w:eastAsia="zh-CN"/>
                    </w:rPr>
                    <w:t>硫酸雾</w:t>
                  </w:r>
                </w:p>
              </w:tc>
              <w:tc>
                <w:tcPr>
                  <w:tcW w:w="956" w:type="pct"/>
                  <w:tcBorders>
                    <w:top w:val="single" w:color="auto" w:sz="4" w:space="0"/>
                    <w:left w:val="nil"/>
                    <w:bottom w:val="single" w:color="auto" w:sz="4" w:space="0"/>
                    <w:right w:val="single" w:color="auto" w:sz="4" w:space="0"/>
                  </w:tcBorders>
                  <w:noWrap w:val="0"/>
                  <w:vAlign w:val="center"/>
                </w:tcPr>
                <w:p>
                  <w:pPr>
                    <w:jc w:val="center"/>
                    <w:rPr>
                      <w:rFonts w:hint="default"/>
                      <w:color w:val="auto"/>
                      <w:kern w:val="2"/>
                      <w:sz w:val="21"/>
                      <w:szCs w:val="24"/>
                      <w:lang w:val="en-US" w:eastAsia="zh-CN" w:bidi="ar-SA"/>
                    </w:rPr>
                  </w:pPr>
                  <w:r>
                    <w:rPr>
                      <w:rFonts w:hint="eastAsia"/>
                      <w:color w:val="auto"/>
                      <w:lang w:val="en-US" w:eastAsia="zh-CN"/>
                    </w:rPr>
                    <w:t>45</w:t>
                  </w:r>
                </w:p>
              </w:tc>
              <w:tc>
                <w:tcPr>
                  <w:tcW w:w="727" w:type="pct"/>
                  <w:tcBorders>
                    <w:top w:val="single" w:color="auto" w:sz="4" w:space="0"/>
                    <w:left w:val="nil"/>
                    <w:bottom w:val="single" w:color="auto" w:sz="4" w:space="0"/>
                    <w:right w:val="single" w:color="auto" w:sz="4" w:space="0"/>
                  </w:tcBorders>
                  <w:noWrap w:val="0"/>
                  <w:vAlign w:val="center"/>
                </w:tcPr>
                <w:p>
                  <w:pPr>
                    <w:jc w:val="center"/>
                    <w:rPr>
                      <w:rFonts w:hint="default"/>
                      <w:color w:val="auto"/>
                      <w:kern w:val="2"/>
                      <w:sz w:val="21"/>
                      <w:szCs w:val="24"/>
                      <w:lang w:val="en-US" w:eastAsia="zh-CN" w:bidi="ar-SA"/>
                    </w:rPr>
                  </w:pPr>
                  <w:r>
                    <w:rPr>
                      <w:rFonts w:hint="eastAsia"/>
                      <w:color w:val="auto"/>
                      <w:lang w:val="en-US" w:eastAsia="zh-CN"/>
                    </w:rPr>
                    <w:t>15</w:t>
                  </w:r>
                </w:p>
              </w:tc>
              <w:tc>
                <w:tcPr>
                  <w:tcW w:w="848" w:type="pct"/>
                  <w:tcBorders>
                    <w:top w:val="single" w:color="auto" w:sz="4" w:space="0"/>
                    <w:left w:val="nil"/>
                    <w:bottom w:val="single" w:color="auto" w:sz="4" w:space="0"/>
                    <w:right w:val="single" w:color="auto" w:sz="4" w:space="0"/>
                  </w:tcBorders>
                  <w:noWrap w:val="0"/>
                  <w:vAlign w:val="center"/>
                </w:tcPr>
                <w:p>
                  <w:pPr>
                    <w:jc w:val="center"/>
                    <w:rPr>
                      <w:rFonts w:hint="default"/>
                      <w:color w:val="auto"/>
                      <w:kern w:val="2"/>
                      <w:sz w:val="21"/>
                      <w:szCs w:val="24"/>
                      <w:lang w:val="en-US" w:eastAsia="zh-CN" w:bidi="ar-SA"/>
                    </w:rPr>
                  </w:pPr>
                  <w:r>
                    <w:rPr>
                      <w:rFonts w:hint="eastAsia"/>
                      <w:color w:val="auto"/>
                      <w:lang w:val="en-US" w:eastAsia="zh-CN"/>
                    </w:rPr>
                    <w:t>1.5</w:t>
                  </w:r>
                </w:p>
              </w:tc>
              <w:tc>
                <w:tcPr>
                  <w:tcW w:w="1055" w:type="pct"/>
                  <w:tcBorders>
                    <w:top w:val="single" w:color="auto" w:sz="4" w:space="0"/>
                    <w:left w:val="nil"/>
                    <w:bottom w:val="single" w:color="auto" w:sz="4" w:space="0"/>
                    <w:right w:val="single" w:color="auto" w:sz="4" w:space="0"/>
                  </w:tcBorders>
                  <w:noWrap w:val="0"/>
                  <w:vAlign w:val="center"/>
                </w:tcPr>
                <w:p>
                  <w:pPr>
                    <w:jc w:val="center"/>
                    <w:rPr>
                      <w:rFonts w:hint="eastAsia"/>
                      <w:color w:val="auto"/>
                      <w:lang w:eastAsia="zh-CN"/>
                    </w:rPr>
                  </w:pPr>
                  <w:r>
                    <w:rPr>
                      <w:rFonts w:hint="eastAsia"/>
                      <w:color w:val="auto"/>
                      <w:lang w:eastAsia="zh-CN"/>
                    </w:rPr>
                    <w:t>周界外浓度</w:t>
                  </w:r>
                </w:p>
                <w:p>
                  <w:pPr>
                    <w:jc w:val="center"/>
                    <w:rPr>
                      <w:rFonts w:hint="eastAsia" w:eastAsia="宋体"/>
                      <w:color w:val="auto"/>
                      <w:lang w:eastAsia="zh-CN"/>
                    </w:rPr>
                  </w:pPr>
                  <w:r>
                    <w:rPr>
                      <w:rFonts w:hint="eastAsia"/>
                      <w:color w:val="auto"/>
                      <w:lang w:eastAsia="zh-CN"/>
                    </w:rPr>
                    <w:t>最高点</w:t>
                  </w:r>
                </w:p>
              </w:tc>
              <w:tc>
                <w:tcPr>
                  <w:tcW w:w="666" w:type="pct"/>
                  <w:tcBorders>
                    <w:top w:val="single" w:color="auto" w:sz="4" w:space="0"/>
                    <w:left w:val="nil"/>
                    <w:bottom w:val="single" w:color="auto" w:sz="4" w:space="0"/>
                    <w:right w:val="single" w:color="auto" w:sz="4" w:space="0"/>
                  </w:tcBorders>
                  <w:noWrap w:val="0"/>
                  <w:vAlign w:val="center"/>
                </w:tcPr>
                <w:p>
                  <w:pPr>
                    <w:jc w:val="center"/>
                    <w:rPr>
                      <w:rFonts w:hint="default" w:eastAsia="宋体"/>
                      <w:color w:val="auto"/>
                      <w:lang w:val="en-US" w:eastAsia="zh-CN"/>
                    </w:rPr>
                  </w:pPr>
                  <w:r>
                    <w:rPr>
                      <w:rFonts w:hint="eastAsia"/>
                      <w:color w:val="auto"/>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lang w:val="en-US" w:eastAsia="zh-CN"/>
                    </w:rPr>
                  </w:pPr>
                  <w:r>
                    <w:rPr>
                      <w:rFonts w:hint="eastAsia"/>
                      <w:color w:val="auto"/>
                      <w:lang w:val="en-US" w:eastAsia="zh-CN"/>
                    </w:rPr>
                    <w:t>氯化氢</w:t>
                  </w:r>
                </w:p>
              </w:tc>
              <w:tc>
                <w:tcPr>
                  <w:tcW w:w="956" w:type="pct"/>
                  <w:tcBorders>
                    <w:top w:val="single" w:color="auto" w:sz="4" w:space="0"/>
                    <w:left w:val="nil"/>
                    <w:bottom w:val="single" w:color="auto" w:sz="4" w:space="0"/>
                    <w:right w:val="single" w:color="auto" w:sz="4" w:space="0"/>
                  </w:tcBorders>
                  <w:noWrap w:val="0"/>
                  <w:vAlign w:val="center"/>
                </w:tcPr>
                <w:p>
                  <w:pPr>
                    <w:jc w:val="center"/>
                    <w:rPr>
                      <w:rFonts w:hint="default"/>
                      <w:color w:val="auto"/>
                      <w:lang w:val="en-US" w:eastAsia="zh-CN"/>
                    </w:rPr>
                  </w:pPr>
                  <w:r>
                    <w:rPr>
                      <w:rFonts w:hint="eastAsia"/>
                      <w:color w:val="auto"/>
                      <w:lang w:val="en-US" w:eastAsia="zh-CN"/>
                    </w:rPr>
                    <w:t>100</w:t>
                  </w:r>
                </w:p>
              </w:tc>
              <w:tc>
                <w:tcPr>
                  <w:tcW w:w="727" w:type="pct"/>
                  <w:tcBorders>
                    <w:top w:val="single" w:color="auto" w:sz="4" w:space="0"/>
                    <w:left w:val="nil"/>
                    <w:bottom w:val="single" w:color="auto" w:sz="4" w:space="0"/>
                    <w:right w:val="single" w:color="auto" w:sz="4" w:space="0"/>
                  </w:tcBorders>
                  <w:noWrap w:val="0"/>
                  <w:vAlign w:val="center"/>
                </w:tcPr>
                <w:p>
                  <w:pPr>
                    <w:jc w:val="center"/>
                    <w:rPr>
                      <w:rFonts w:hint="default"/>
                      <w:color w:val="auto"/>
                      <w:lang w:val="en-US" w:eastAsia="zh-CN"/>
                    </w:rPr>
                  </w:pPr>
                  <w:r>
                    <w:rPr>
                      <w:rFonts w:hint="eastAsia"/>
                      <w:color w:val="auto"/>
                      <w:lang w:val="en-US" w:eastAsia="zh-CN"/>
                    </w:rPr>
                    <w:t>15</w:t>
                  </w:r>
                </w:p>
              </w:tc>
              <w:tc>
                <w:tcPr>
                  <w:tcW w:w="848" w:type="pct"/>
                  <w:tcBorders>
                    <w:top w:val="single" w:color="auto" w:sz="4" w:space="0"/>
                    <w:left w:val="nil"/>
                    <w:bottom w:val="single" w:color="auto" w:sz="4" w:space="0"/>
                    <w:right w:val="single" w:color="auto" w:sz="4" w:space="0"/>
                  </w:tcBorders>
                  <w:noWrap w:val="0"/>
                  <w:vAlign w:val="center"/>
                </w:tcPr>
                <w:p>
                  <w:pPr>
                    <w:jc w:val="center"/>
                    <w:rPr>
                      <w:rFonts w:hint="default"/>
                      <w:color w:val="auto"/>
                      <w:lang w:val="en-US" w:eastAsia="zh-CN"/>
                    </w:rPr>
                  </w:pPr>
                  <w:r>
                    <w:rPr>
                      <w:rFonts w:hint="eastAsia"/>
                      <w:color w:val="auto"/>
                      <w:lang w:val="en-US" w:eastAsia="zh-CN"/>
                    </w:rPr>
                    <w:t>0.26</w:t>
                  </w:r>
                </w:p>
              </w:tc>
              <w:tc>
                <w:tcPr>
                  <w:tcW w:w="1055" w:type="pct"/>
                  <w:tcBorders>
                    <w:top w:val="single" w:color="auto" w:sz="4" w:space="0"/>
                    <w:left w:val="nil"/>
                    <w:right w:val="single" w:color="auto" w:sz="4" w:space="0"/>
                  </w:tcBorders>
                  <w:noWrap w:val="0"/>
                  <w:vAlign w:val="center"/>
                </w:tcPr>
                <w:p>
                  <w:pPr>
                    <w:jc w:val="center"/>
                    <w:rPr>
                      <w:rFonts w:hint="eastAsia"/>
                      <w:color w:val="auto"/>
                      <w:lang w:eastAsia="zh-CN"/>
                    </w:rPr>
                  </w:pPr>
                  <w:r>
                    <w:rPr>
                      <w:rFonts w:hint="eastAsia"/>
                      <w:color w:val="auto"/>
                      <w:lang w:eastAsia="zh-CN"/>
                    </w:rPr>
                    <w:t>周界外浓度</w:t>
                  </w:r>
                </w:p>
                <w:p>
                  <w:pPr>
                    <w:jc w:val="center"/>
                    <w:rPr>
                      <w:rFonts w:hint="eastAsia"/>
                      <w:color w:val="auto"/>
                      <w:lang w:eastAsia="zh-CN"/>
                    </w:rPr>
                  </w:pPr>
                  <w:r>
                    <w:rPr>
                      <w:rFonts w:hint="eastAsia"/>
                      <w:color w:val="auto"/>
                      <w:lang w:eastAsia="zh-CN"/>
                    </w:rPr>
                    <w:t>最高点</w:t>
                  </w:r>
                </w:p>
              </w:tc>
              <w:tc>
                <w:tcPr>
                  <w:tcW w:w="666" w:type="pct"/>
                  <w:tcBorders>
                    <w:top w:val="single" w:color="auto" w:sz="4" w:space="0"/>
                    <w:left w:val="nil"/>
                    <w:bottom w:val="single" w:color="auto" w:sz="4" w:space="0"/>
                    <w:right w:val="single" w:color="auto" w:sz="4" w:space="0"/>
                  </w:tcBorders>
                  <w:noWrap w:val="0"/>
                  <w:vAlign w:val="center"/>
                </w:tcPr>
                <w:p>
                  <w:pPr>
                    <w:jc w:val="center"/>
                    <w:rPr>
                      <w:rFonts w:hint="default"/>
                      <w:color w:val="auto"/>
                      <w:lang w:val="en-US" w:eastAsia="zh-CN"/>
                    </w:rPr>
                  </w:pPr>
                  <w:r>
                    <w:rPr>
                      <w:rFonts w:hint="eastAsia"/>
                      <w:color w:val="auto"/>
                      <w:lang w:val="en-US" w:eastAsia="zh-CN"/>
                    </w:rPr>
                    <w:t>0.20</w:t>
                  </w:r>
                </w:p>
              </w:tc>
            </w:tr>
          </w:tbl>
          <w:p>
            <w:pPr>
              <w:pStyle w:val="2"/>
              <w:keepNext w:val="0"/>
              <w:keepLines w:val="0"/>
              <w:pageBreakBefore w:val="0"/>
              <w:widowControl/>
              <w:kinsoku/>
              <w:wordWrap/>
              <w:overflowPunct/>
              <w:topLinePunct w:val="0"/>
              <w:autoSpaceDE/>
              <w:autoSpaceDN/>
              <w:bidi w:val="0"/>
              <w:adjustRightInd/>
              <w:snapToGrid/>
              <w:ind w:firstLine="480"/>
              <w:textAlignment w:val="auto"/>
              <w:rPr>
                <w:lang w:val="en-US" w:eastAsia="zh-CN"/>
              </w:rPr>
            </w:pPr>
            <w:r>
              <w:rPr>
                <w:lang w:val="en-US" w:eastAsia="zh-CN"/>
              </w:rPr>
              <w:t>食堂</w:t>
            </w:r>
            <w:r>
              <w:rPr>
                <w:rFonts w:hint="eastAsia"/>
                <w:lang w:val="en-US" w:eastAsia="zh-CN"/>
              </w:rPr>
              <w:t>设5个灶头，餐饮</w:t>
            </w:r>
            <w:r>
              <w:rPr>
                <w:lang w:val="en-US" w:eastAsia="zh-CN"/>
              </w:rPr>
              <w:t>油烟排放执行《饮食业油烟排放标准》（GB18483-2001）中型规模标准，详见表</w:t>
            </w:r>
            <w:r>
              <w:rPr>
                <w:rFonts w:hint="eastAsia"/>
                <w:lang w:val="en-US" w:eastAsia="zh-CN"/>
              </w:rPr>
              <w:t>3-4</w:t>
            </w:r>
            <w:r>
              <w:rPr>
                <w:lang w:val="en-US" w:eastAsia="zh-CN"/>
              </w:rPr>
              <w:t>。</w:t>
            </w:r>
          </w:p>
          <w:p>
            <w:pPr>
              <w:pStyle w:val="2"/>
              <w:spacing w:line="240" w:lineRule="auto"/>
              <w:ind w:firstLine="482"/>
              <w:jc w:val="center"/>
              <w:rPr>
                <w:b/>
                <w:bCs/>
                <w:lang w:val="zh-CN" w:eastAsia="zh-CN"/>
              </w:rPr>
            </w:pPr>
            <w:r>
              <w:rPr>
                <w:b/>
                <w:bCs/>
                <w:lang w:val="zh-CN" w:eastAsia="zh-CN"/>
              </w:rPr>
              <w:t>表</w:t>
            </w:r>
            <w:r>
              <w:rPr>
                <w:rFonts w:hint="eastAsia"/>
                <w:b/>
                <w:bCs/>
                <w:lang w:val="en-US" w:eastAsia="zh-CN"/>
              </w:rPr>
              <w:t>3-5</w:t>
            </w:r>
            <w:r>
              <w:rPr>
                <w:b/>
                <w:bCs/>
                <w:szCs w:val="22"/>
                <w:lang w:val="en-US" w:eastAsia="zh-CN"/>
              </w:rPr>
              <w:t>饮食业油烟排放标准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2"/>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规模</w:t>
                  </w:r>
                </w:p>
              </w:tc>
              <w:tc>
                <w:tcPr>
                  <w:tcW w:w="2704" w:type="dxa"/>
                </w:tcPr>
                <w:p>
                  <w:pPr>
                    <w:pStyle w:val="54"/>
                    <w:rPr>
                      <w:color w:val="auto"/>
                      <w:szCs w:val="21"/>
                    </w:rPr>
                  </w:pPr>
                  <w:r>
                    <w:rPr>
                      <w:color w:val="auto"/>
                      <w:szCs w:val="21"/>
                    </w:rPr>
                    <w:t>中型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基准灶头数</w:t>
                  </w:r>
                </w:p>
              </w:tc>
              <w:tc>
                <w:tcPr>
                  <w:tcW w:w="2704" w:type="dxa"/>
                </w:tcPr>
                <w:p>
                  <w:pPr>
                    <w:pStyle w:val="54"/>
                    <w:rPr>
                      <w:color w:val="auto"/>
                      <w:szCs w:val="21"/>
                    </w:rPr>
                  </w:pPr>
                  <w:r>
                    <w:rPr>
                      <w:color w:val="auto"/>
                      <w:szCs w:val="21"/>
                    </w:rPr>
                    <w:t>≥3，&lt;6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对应灶头总功率(108J/h)</w:t>
                  </w:r>
                </w:p>
              </w:tc>
              <w:tc>
                <w:tcPr>
                  <w:tcW w:w="2704" w:type="dxa"/>
                </w:tcPr>
                <w:p>
                  <w:pPr>
                    <w:pStyle w:val="54"/>
                    <w:rPr>
                      <w:color w:val="auto"/>
                      <w:szCs w:val="21"/>
                    </w:rPr>
                  </w:pPr>
                  <w:r>
                    <w:rPr>
                      <w:color w:val="auto"/>
                      <w:szCs w:val="21"/>
                    </w:rPr>
                    <w:t>≥5.00，&lt;10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对应排气罩灶面总投影面积(m</w:t>
                  </w:r>
                  <w:r>
                    <w:rPr>
                      <w:b/>
                      <w:bCs/>
                      <w:color w:val="auto"/>
                      <w:szCs w:val="21"/>
                      <w:vertAlign w:val="superscript"/>
                    </w:rPr>
                    <w:t>2</w:t>
                  </w:r>
                  <w:r>
                    <w:rPr>
                      <w:b/>
                      <w:bCs/>
                      <w:color w:val="auto"/>
                      <w:szCs w:val="21"/>
                    </w:rPr>
                    <w:t>)</w:t>
                  </w:r>
                </w:p>
              </w:tc>
              <w:tc>
                <w:tcPr>
                  <w:tcW w:w="2704" w:type="dxa"/>
                </w:tcPr>
                <w:p>
                  <w:pPr>
                    <w:pStyle w:val="54"/>
                    <w:rPr>
                      <w:color w:val="auto"/>
                      <w:szCs w:val="21"/>
                    </w:rPr>
                  </w:pPr>
                  <w:r>
                    <w:rPr>
                      <w:color w:val="auto"/>
                      <w:szCs w:val="21"/>
                    </w:rPr>
                    <w:t>≥3.3，&lt;6.6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最高允许排放浓度（mg/m</w:t>
                  </w:r>
                  <w:r>
                    <w:rPr>
                      <w:b/>
                      <w:bCs/>
                      <w:color w:val="auto"/>
                      <w:szCs w:val="21"/>
                      <w:vertAlign w:val="superscript"/>
                    </w:rPr>
                    <w:t>3</w:t>
                  </w:r>
                  <w:r>
                    <w:rPr>
                      <w:b/>
                      <w:bCs/>
                      <w:color w:val="auto"/>
                      <w:szCs w:val="21"/>
                    </w:rPr>
                    <w:t>）</w:t>
                  </w:r>
                </w:p>
              </w:tc>
              <w:tc>
                <w:tcPr>
                  <w:tcW w:w="2704" w:type="dxa"/>
                  <w:vAlign w:val="center"/>
                </w:tcPr>
                <w:p>
                  <w:pPr>
                    <w:pStyle w:val="54"/>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2" w:type="dxa"/>
                </w:tcPr>
                <w:p>
                  <w:pPr>
                    <w:pStyle w:val="54"/>
                    <w:rPr>
                      <w:b/>
                      <w:bCs/>
                      <w:color w:val="auto"/>
                      <w:szCs w:val="21"/>
                    </w:rPr>
                  </w:pPr>
                  <w:r>
                    <w:rPr>
                      <w:b/>
                      <w:bCs/>
                      <w:color w:val="auto"/>
                      <w:szCs w:val="21"/>
                    </w:rPr>
                    <w:t>净化设施最低去除效率（%）</w:t>
                  </w:r>
                </w:p>
              </w:tc>
              <w:tc>
                <w:tcPr>
                  <w:tcW w:w="2704" w:type="dxa"/>
                  <w:vAlign w:val="center"/>
                </w:tcPr>
                <w:p>
                  <w:pPr>
                    <w:pStyle w:val="54"/>
                    <w:rPr>
                      <w:color w:val="auto"/>
                      <w:szCs w:val="21"/>
                    </w:rPr>
                  </w:pPr>
                  <w:r>
                    <w:rPr>
                      <w:color w:val="auto"/>
                      <w:szCs w:val="21"/>
                    </w:rPr>
                    <w:t>75</w:t>
                  </w:r>
                </w:p>
              </w:tc>
            </w:tr>
          </w:tbl>
          <w:p>
            <w:pPr>
              <w:spacing w:line="360" w:lineRule="auto"/>
              <w:rPr>
                <w:b/>
                <w:sz w:val="28"/>
                <w:szCs w:val="28"/>
              </w:rPr>
            </w:pPr>
            <w:r>
              <w:rPr>
                <w:b/>
                <w:sz w:val="28"/>
                <w:szCs w:val="28"/>
              </w:rPr>
              <w:t>2、废水</w:t>
            </w:r>
          </w:p>
          <w:p>
            <w:pPr>
              <w:pStyle w:val="8"/>
              <w:spacing w:line="360" w:lineRule="auto"/>
              <w:ind w:firstLine="480"/>
              <w:rPr>
                <w:color w:val="FF0000"/>
                <w:sz w:val="24"/>
                <w:szCs w:val="22"/>
                <w:lang w:val="zh-CN"/>
              </w:rPr>
            </w:pPr>
            <w:r>
              <w:rPr>
                <w:rFonts w:hint="eastAsia"/>
                <w:sz w:val="24"/>
              </w:rPr>
              <w:t>拟建项目</w:t>
            </w:r>
            <w:r>
              <w:rPr>
                <w:sz w:val="24"/>
              </w:rPr>
              <w:t>运营期废水</w:t>
            </w:r>
            <w:r>
              <w:rPr>
                <w:rFonts w:hint="eastAsia"/>
                <w:sz w:val="24"/>
              </w:rPr>
              <w:t>执行</w:t>
            </w:r>
            <w:r>
              <w:rPr>
                <w:sz w:val="24"/>
              </w:rPr>
              <w:t>《污水综合排放标准》（GB8978-1996）表4中的三级标准</w:t>
            </w:r>
            <w:r>
              <w:rPr>
                <w:rFonts w:hint="eastAsia"/>
                <w:sz w:val="24"/>
              </w:rPr>
              <w:t>及</w:t>
            </w:r>
            <w:r>
              <w:rPr>
                <w:rFonts w:hint="eastAsia"/>
                <w:sz w:val="24"/>
                <w:szCs w:val="22"/>
                <w:lang w:val="zh-CN"/>
              </w:rPr>
              <w:t>《污水排入城镇下水道水质标准》（GB/T31962-2015）表1中B级限值，</w:t>
            </w:r>
            <w:r>
              <w:rPr>
                <w:rFonts w:hint="eastAsia"/>
                <w:sz w:val="24"/>
              </w:rPr>
              <w:t>黄山市第二污水处理厂尾水排放执行</w:t>
            </w:r>
            <w:r>
              <w:rPr>
                <w:sz w:val="24"/>
              </w:rPr>
              <w:t>《城镇污水处理厂污染物排放标准》（GB18918-2002）一级A排放标准。</w:t>
            </w:r>
            <w:r>
              <w:rPr>
                <w:sz w:val="24"/>
                <w:szCs w:val="22"/>
                <w:lang w:val="zh-CN"/>
              </w:rPr>
              <w:t>详见</w:t>
            </w:r>
            <w:r>
              <w:rPr>
                <w:rFonts w:hint="eastAsia"/>
                <w:sz w:val="24"/>
                <w:szCs w:val="22"/>
              </w:rPr>
              <w:t>下</w:t>
            </w:r>
            <w:r>
              <w:rPr>
                <w:sz w:val="24"/>
                <w:szCs w:val="22"/>
                <w:lang w:val="zh-CN"/>
              </w:rPr>
              <w:t>表</w:t>
            </w:r>
            <w:r>
              <w:rPr>
                <w:sz w:val="24"/>
                <w:szCs w:val="22"/>
              </w:rPr>
              <w:t>。</w:t>
            </w:r>
          </w:p>
          <w:p>
            <w:pPr>
              <w:ind w:firstLine="482"/>
              <w:jc w:val="center"/>
              <w:rPr>
                <w:b/>
                <w:sz w:val="24"/>
              </w:rPr>
            </w:pPr>
            <w:r>
              <w:rPr>
                <w:b/>
                <w:sz w:val="24"/>
              </w:rPr>
              <w:t>表</w:t>
            </w:r>
            <w:r>
              <w:rPr>
                <w:rFonts w:hint="eastAsia"/>
                <w:b/>
                <w:sz w:val="24"/>
              </w:rPr>
              <w:t>3</w:t>
            </w:r>
            <w:r>
              <w:rPr>
                <w:b/>
                <w:sz w:val="24"/>
              </w:rPr>
              <w:t>-</w:t>
            </w:r>
            <w:r>
              <w:rPr>
                <w:rFonts w:hint="eastAsia"/>
                <w:b/>
                <w:sz w:val="24"/>
                <w:lang w:val="en-US" w:eastAsia="zh-CN"/>
              </w:rPr>
              <w:t>6</w:t>
            </w:r>
            <w:r>
              <w:rPr>
                <w:b/>
                <w:bCs/>
                <w:sz w:val="24"/>
                <w:lang w:val="zh-CN"/>
              </w:rPr>
              <w:t>废水排放标准</w:t>
            </w:r>
            <w:r>
              <w:rPr>
                <w:b/>
                <w:sz w:val="24"/>
              </w:rPr>
              <w:t xml:space="preserve">  单位：mg/L，pH为无量纲</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748"/>
              <w:gridCol w:w="899"/>
              <w:gridCol w:w="1082"/>
              <w:gridCol w:w="1084"/>
              <w:gridCol w:w="77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6" w:type="dxa"/>
                  <w:vAlign w:val="center"/>
                </w:tcPr>
                <w:p>
                  <w:pPr>
                    <w:pStyle w:val="41"/>
                    <w:rPr>
                      <w:b/>
                      <w:bCs/>
                      <w:kern w:val="2"/>
                      <w:lang w:val="en-US" w:eastAsia="zh-CN"/>
                    </w:rPr>
                  </w:pPr>
                  <w:r>
                    <w:rPr>
                      <w:b/>
                      <w:bCs/>
                      <w:kern w:val="2"/>
                      <w:lang w:val="en-US" w:eastAsia="zh-CN"/>
                    </w:rPr>
                    <w:t>污染物指标</w:t>
                  </w:r>
                </w:p>
              </w:tc>
              <w:tc>
                <w:tcPr>
                  <w:tcW w:w="736" w:type="dxa"/>
                  <w:vAlign w:val="center"/>
                </w:tcPr>
                <w:p>
                  <w:pPr>
                    <w:pStyle w:val="41"/>
                    <w:rPr>
                      <w:b/>
                      <w:bCs/>
                      <w:kern w:val="2"/>
                      <w:lang w:val="en-US" w:eastAsia="zh-CN"/>
                    </w:rPr>
                  </w:pPr>
                  <w:r>
                    <w:rPr>
                      <w:b/>
                      <w:bCs/>
                      <w:kern w:val="2"/>
                      <w:lang w:val="en-US" w:eastAsia="zh-CN"/>
                    </w:rPr>
                    <w:t>pH</w:t>
                  </w:r>
                </w:p>
              </w:tc>
              <w:tc>
                <w:tcPr>
                  <w:tcW w:w="885" w:type="dxa"/>
                  <w:vAlign w:val="center"/>
                </w:tcPr>
                <w:p>
                  <w:pPr>
                    <w:pStyle w:val="41"/>
                    <w:rPr>
                      <w:b/>
                      <w:bCs/>
                      <w:kern w:val="2"/>
                      <w:lang w:val="en-US" w:eastAsia="zh-CN"/>
                    </w:rPr>
                  </w:pPr>
                  <w:r>
                    <w:rPr>
                      <w:b/>
                      <w:bCs/>
                      <w:kern w:val="2"/>
                      <w:lang w:val="en-US" w:eastAsia="zh-CN"/>
                    </w:rPr>
                    <w:t>BOD</w:t>
                  </w:r>
                  <w:r>
                    <w:rPr>
                      <w:b/>
                      <w:bCs/>
                      <w:kern w:val="2"/>
                      <w:vertAlign w:val="subscript"/>
                      <w:lang w:val="en-US" w:eastAsia="zh-CN"/>
                    </w:rPr>
                    <w:t>5</w:t>
                  </w:r>
                </w:p>
              </w:tc>
              <w:tc>
                <w:tcPr>
                  <w:tcW w:w="1065" w:type="dxa"/>
                  <w:vAlign w:val="center"/>
                </w:tcPr>
                <w:p>
                  <w:pPr>
                    <w:pStyle w:val="41"/>
                    <w:rPr>
                      <w:b/>
                      <w:bCs/>
                      <w:kern w:val="2"/>
                      <w:lang w:val="en-US" w:eastAsia="zh-CN"/>
                    </w:rPr>
                  </w:pPr>
                  <w:r>
                    <w:rPr>
                      <w:b/>
                      <w:bCs/>
                      <w:kern w:val="2"/>
                      <w:lang w:val="en-US" w:eastAsia="zh-CN"/>
                    </w:rPr>
                    <w:t>COD</w:t>
                  </w:r>
                  <w:r>
                    <w:rPr>
                      <w:b/>
                      <w:bCs/>
                      <w:kern w:val="2"/>
                      <w:vertAlign w:val="subscript"/>
                      <w:lang w:val="en-US" w:eastAsia="zh-CN"/>
                    </w:rPr>
                    <w:t>Cr</w:t>
                  </w:r>
                </w:p>
              </w:tc>
              <w:tc>
                <w:tcPr>
                  <w:tcW w:w="1067" w:type="dxa"/>
                  <w:vAlign w:val="center"/>
                </w:tcPr>
                <w:p>
                  <w:pPr>
                    <w:pStyle w:val="41"/>
                    <w:rPr>
                      <w:b/>
                      <w:bCs/>
                      <w:kern w:val="2"/>
                      <w:lang w:val="en-US" w:eastAsia="zh-CN"/>
                    </w:rPr>
                  </w:pPr>
                  <w:r>
                    <w:rPr>
                      <w:rFonts w:hint="eastAsia"/>
                      <w:b/>
                      <w:bCs/>
                      <w:kern w:val="2"/>
                      <w:lang w:val="en-US" w:eastAsia="zh-CN"/>
                    </w:rPr>
                    <w:t>动植物油</w:t>
                  </w:r>
                </w:p>
              </w:tc>
              <w:tc>
                <w:tcPr>
                  <w:tcW w:w="763" w:type="dxa"/>
                  <w:vAlign w:val="center"/>
                </w:tcPr>
                <w:p>
                  <w:pPr>
                    <w:pStyle w:val="41"/>
                    <w:rPr>
                      <w:b/>
                      <w:bCs/>
                      <w:kern w:val="2"/>
                      <w:lang w:val="en-US" w:eastAsia="zh-CN"/>
                    </w:rPr>
                  </w:pPr>
                  <w:r>
                    <w:rPr>
                      <w:b/>
                      <w:bCs/>
                      <w:kern w:val="2"/>
                      <w:lang w:val="en-US" w:eastAsia="zh-CN"/>
                    </w:rPr>
                    <w:t>SS</w:t>
                  </w:r>
                </w:p>
              </w:tc>
              <w:tc>
                <w:tcPr>
                  <w:tcW w:w="978" w:type="dxa"/>
                  <w:vAlign w:val="center"/>
                </w:tcPr>
                <w:p>
                  <w:pPr>
                    <w:pStyle w:val="41"/>
                    <w:rPr>
                      <w:b/>
                      <w:bCs/>
                      <w:kern w:val="2"/>
                      <w:lang w:val="en-US" w:eastAsia="zh-CN"/>
                    </w:rPr>
                  </w:pPr>
                  <w:r>
                    <w:rPr>
                      <w:b/>
                      <w:bCs/>
                      <w:kern w:val="2"/>
                      <w:lang w:val="en-US" w:eastAsia="zh-CN"/>
                    </w:rPr>
                    <w:t>NH</w:t>
                  </w:r>
                  <w:r>
                    <w:rPr>
                      <w:b/>
                      <w:bCs/>
                      <w:kern w:val="2"/>
                      <w:vertAlign w:val="subscript"/>
                      <w:lang w:val="en-US" w:eastAsia="zh-CN"/>
                    </w:rPr>
                    <w:t>3</w:t>
                  </w:r>
                  <w:r>
                    <w:rPr>
                      <w:b/>
                      <w:bCs/>
                      <w:kern w:val="2"/>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6" w:type="dxa"/>
                  <w:vAlign w:val="center"/>
                </w:tcPr>
                <w:p>
                  <w:pPr>
                    <w:pStyle w:val="41"/>
                    <w:rPr>
                      <w:kern w:val="2"/>
                      <w:lang w:val="en-US" w:eastAsia="zh-CN"/>
                    </w:rPr>
                  </w:pPr>
                  <w:r>
                    <w:rPr>
                      <w:kern w:val="2"/>
                      <w:lang w:val="en-US" w:eastAsia="zh-CN"/>
                    </w:rPr>
                    <w:t>GB8978-1996表4中三级标准值</w:t>
                  </w:r>
                </w:p>
              </w:tc>
              <w:tc>
                <w:tcPr>
                  <w:tcW w:w="736" w:type="dxa"/>
                  <w:vAlign w:val="center"/>
                </w:tcPr>
                <w:p>
                  <w:pPr>
                    <w:pStyle w:val="41"/>
                    <w:rPr>
                      <w:kern w:val="2"/>
                      <w:lang w:val="en-US" w:eastAsia="zh-CN"/>
                    </w:rPr>
                  </w:pPr>
                  <w:r>
                    <w:rPr>
                      <w:kern w:val="2"/>
                      <w:lang w:val="en-US" w:eastAsia="zh-CN"/>
                    </w:rPr>
                    <w:t>6～9</w:t>
                  </w:r>
                </w:p>
              </w:tc>
              <w:tc>
                <w:tcPr>
                  <w:tcW w:w="885" w:type="dxa"/>
                  <w:vAlign w:val="center"/>
                </w:tcPr>
                <w:p>
                  <w:pPr>
                    <w:pStyle w:val="41"/>
                    <w:rPr>
                      <w:kern w:val="2"/>
                      <w:lang w:val="en-US" w:eastAsia="zh-CN"/>
                    </w:rPr>
                  </w:pPr>
                  <w:r>
                    <w:rPr>
                      <w:kern w:val="2"/>
                      <w:lang w:val="en-US" w:eastAsia="zh-CN"/>
                    </w:rPr>
                    <w:t>300</w:t>
                  </w:r>
                </w:p>
              </w:tc>
              <w:tc>
                <w:tcPr>
                  <w:tcW w:w="1065" w:type="dxa"/>
                  <w:vAlign w:val="center"/>
                </w:tcPr>
                <w:p>
                  <w:pPr>
                    <w:pStyle w:val="41"/>
                    <w:rPr>
                      <w:kern w:val="2"/>
                      <w:lang w:val="en-US" w:eastAsia="zh-CN"/>
                    </w:rPr>
                  </w:pPr>
                  <w:r>
                    <w:rPr>
                      <w:kern w:val="2"/>
                      <w:lang w:val="en-US" w:eastAsia="zh-CN"/>
                    </w:rPr>
                    <w:t>500</w:t>
                  </w:r>
                </w:p>
              </w:tc>
              <w:tc>
                <w:tcPr>
                  <w:tcW w:w="1067" w:type="dxa"/>
                  <w:vAlign w:val="center"/>
                </w:tcPr>
                <w:p>
                  <w:pPr>
                    <w:pStyle w:val="41"/>
                    <w:rPr>
                      <w:kern w:val="2"/>
                      <w:lang w:val="en-US" w:eastAsia="zh-CN"/>
                    </w:rPr>
                  </w:pPr>
                  <w:r>
                    <w:rPr>
                      <w:rFonts w:hint="eastAsia"/>
                      <w:kern w:val="2"/>
                      <w:lang w:val="en-US" w:eastAsia="zh-CN"/>
                    </w:rPr>
                    <w:t>100</w:t>
                  </w:r>
                </w:p>
              </w:tc>
              <w:tc>
                <w:tcPr>
                  <w:tcW w:w="763" w:type="dxa"/>
                  <w:vAlign w:val="center"/>
                </w:tcPr>
                <w:p>
                  <w:pPr>
                    <w:pStyle w:val="41"/>
                    <w:rPr>
                      <w:kern w:val="2"/>
                      <w:lang w:val="en-US" w:eastAsia="zh-CN"/>
                    </w:rPr>
                  </w:pPr>
                  <w:r>
                    <w:rPr>
                      <w:kern w:val="2"/>
                      <w:lang w:val="en-US" w:eastAsia="zh-CN"/>
                    </w:rPr>
                    <w:t>400</w:t>
                  </w:r>
                </w:p>
              </w:tc>
              <w:tc>
                <w:tcPr>
                  <w:tcW w:w="978" w:type="dxa"/>
                  <w:vAlign w:val="center"/>
                </w:tcPr>
                <w:p>
                  <w:pPr>
                    <w:pStyle w:val="41"/>
                    <w:rPr>
                      <w:b/>
                      <w:bCs/>
                      <w:kern w:val="2"/>
                      <w:lang w:val="en-US" w:eastAsia="zh-CN"/>
                    </w:rPr>
                  </w:pPr>
                  <w:r>
                    <w:rPr>
                      <w:rFonts w:hint="eastAsia"/>
                      <w:b/>
                      <w:bCs/>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6" w:type="dxa"/>
                  <w:vAlign w:val="center"/>
                </w:tcPr>
                <w:p>
                  <w:pPr>
                    <w:pStyle w:val="10"/>
                    <w:rPr>
                      <w:lang w:val="en-US" w:eastAsia="zh-CN"/>
                    </w:rPr>
                  </w:pPr>
                  <w:r>
                    <w:rPr>
                      <w:rFonts w:hint="eastAsia"/>
                      <w:sz w:val="21"/>
                      <w:szCs w:val="21"/>
                      <w:lang w:val="en-US" w:eastAsia="zh-CN"/>
                    </w:rPr>
                    <w:t>《污水排入城镇下水道水质标准》（GB/T31962-2015）</w:t>
                  </w:r>
                  <w:r>
                    <w:rPr>
                      <w:sz w:val="21"/>
                      <w:szCs w:val="21"/>
                      <w:lang w:val="en-US" w:eastAsia="zh-CN"/>
                    </w:rPr>
                    <w:t>表</w:t>
                  </w:r>
                  <w:r>
                    <w:rPr>
                      <w:rFonts w:hint="eastAsia"/>
                      <w:sz w:val="21"/>
                      <w:szCs w:val="21"/>
                      <w:lang w:val="en-US" w:eastAsia="zh-CN"/>
                    </w:rPr>
                    <w:t>1中B标准</w:t>
                  </w:r>
                </w:p>
              </w:tc>
              <w:tc>
                <w:tcPr>
                  <w:tcW w:w="736" w:type="dxa"/>
                  <w:vAlign w:val="center"/>
                </w:tcPr>
                <w:p>
                  <w:pPr>
                    <w:pStyle w:val="41"/>
                    <w:rPr>
                      <w:kern w:val="2"/>
                      <w:lang w:val="en-US" w:eastAsia="zh-CN"/>
                    </w:rPr>
                  </w:pPr>
                  <w:r>
                    <w:rPr>
                      <w:rFonts w:hint="eastAsia"/>
                      <w:kern w:val="2"/>
                      <w:lang w:val="en-US" w:eastAsia="zh-CN"/>
                    </w:rPr>
                    <w:t>/</w:t>
                  </w:r>
                </w:p>
              </w:tc>
              <w:tc>
                <w:tcPr>
                  <w:tcW w:w="885" w:type="dxa"/>
                  <w:vAlign w:val="center"/>
                </w:tcPr>
                <w:p>
                  <w:pPr>
                    <w:pStyle w:val="41"/>
                    <w:rPr>
                      <w:kern w:val="2"/>
                      <w:lang w:val="en-US" w:eastAsia="zh-CN"/>
                    </w:rPr>
                  </w:pPr>
                  <w:r>
                    <w:rPr>
                      <w:rFonts w:hint="eastAsia"/>
                      <w:kern w:val="2"/>
                      <w:lang w:val="en-US" w:eastAsia="zh-CN"/>
                    </w:rPr>
                    <w:t>/</w:t>
                  </w:r>
                </w:p>
              </w:tc>
              <w:tc>
                <w:tcPr>
                  <w:tcW w:w="1065" w:type="dxa"/>
                  <w:vAlign w:val="center"/>
                </w:tcPr>
                <w:p>
                  <w:pPr>
                    <w:pStyle w:val="41"/>
                    <w:rPr>
                      <w:kern w:val="2"/>
                      <w:lang w:val="en-US" w:eastAsia="zh-CN"/>
                    </w:rPr>
                  </w:pPr>
                  <w:r>
                    <w:rPr>
                      <w:rFonts w:hint="eastAsia"/>
                      <w:kern w:val="2"/>
                      <w:lang w:val="en-US" w:eastAsia="zh-CN"/>
                    </w:rPr>
                    <w:t>/</w:t>
                  </w:r>
                </w:p>
              </w:tc>
              <w:tc>
                <w:tcPr>
                  <w:tcW w:w="1067" w:type="dxa"/>
                  <w:vAlign w:val="center"/>
                </w:tcPr>
                <w:p>
                  <w:pPr>
                    <w:pStyle w:val="41"/>
                    <w:rPr>
                      <w:kern w:val="2"/>
                      <w:lang w:val="en-US" w:eastAsia="zh-CN"/>
                    </w:rPr>
                  </w:pPr>
                  <w:r>
                    <w:rPr>
                      <w:rFonts w:hint="eastAsia"/>
                      <w:kern w:val="2"/>
                      <w:lang w:val="en-US" w:eastAsia="zh-CN"/>
                    </w:rPr>
                    <w:t>/</w:t>
                  </w:r>
                </w:p>
              </w:tc>
              <w:tc>
                <w:tcPr>
                  <w:tcW w:w="763" w:type="dxa"/>
                  <w:vAlign w:val="center"/>
                </w:tcPr>
                <w:p>
                  <w:pPr>
                    <w:pStyle w:val="41"/>
                    <w:rPr>
                      <w:kern w:val="2"/>
                      <w:lang w:val="en-US" w:eastAsia="zh-CN"/>
                    </w:rPr>
                  </w:pPr>
                  <w:r>
                    <w:rPr>
                      <w:rFonts w:hint="eastAsia"/>
                      <w:kern w:val="2"/>
                      <w:lang w:val="en-US" w:eastAsia="zh-CN"/>
                    </w:rPr>
                    <w:t>/</w:t>
                  </w:r>
                </w:p>
              </w:tc>
              <w:tc>
                <w:tcPr>
                  <w:tcW w:w="978" w:type="dxa"/>
                  <w:vAlign w:val="center"/>
                </w:tcPr>
                <w:p>
                  <w:pPr>
                    <w:pStyle w:val="41"/>
                    <w:rPr>
                      <w:kern w:val="2"/>
                      <w:lang w:val="en-US" w:eastAsia="zh-CN"/>
                    </w:rPr>
                  </w:pPr>
                  <w:r>
                    <w:rPr>
                      <w:rFonts w:hint="eastAsia"/>
                      <w:kern w:val="2"/>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6" w:type="dxa"/>
                  <w:vAlign w:val="center"/>
                </w:tcPr>
                <w:p>
                  <w:pPr>
                    <w:pStyle w:val="41"/>
                    <w:rPr>
                      <w:kern w:val="2"/>
                      <w:lang w:val="en-US" w:eastAsia="zh-CN"/>
                    </w:rPr>
                  </w:pPr>
                  <w:r>
                    <w:rPr>
                      <w:kern w:val="2"/>
                      <w:lang w:val="en-US" w:eastAsia="zh-CN"/>
                    </w:rPr>
                    <w:t>GB18918-2002中一级A标准值</w:t>
                  </w:r>
                </w:p>
              </w:tc>
              <w:tc>
                <w:tcPr>
                  <w:tcW w:w="736" w:type="dxa"/>
                  <w:vAlign w:val="center"/>
                </w:tcPr>
                <w:p>
                  <w:pPr>
                    <w:pStyle w:val="41"/>
                    <w:rPr>
                      <w:kern w:val="2"/>
                      <w:lang w:val="en-US" w:eastAsia="zh-CN"/>
                    </w:rPr>
                  </w:pPr>
                  <w:r>
                    <w:rPr>
                      <w:kern w:val="2"/>
                      <w:lang w:val="en-US" w:eastAsia="zh-CN"/>
                    </w:rPr>
                    <w:t>6～9</w:t>
                  </w:r>
                </w:p>
              </w:tc>
              <w:tc>
                <w:tcPr>
                  <w:tcW w:w="885" w:type="dxa"/>
                  <w:vAlign w:val="center"/>
                </w:tcPr>
                <w:p>
                  <w:pPr>
                    <w:pStyle w:val="41"/>
                    <w:rPr>
                      <w:kern w:val="2"/>
                      <w:lang w:val="en-US" w:eastAsia="zh-CN"/>
                    </w:rPr>
                  </w:pPr>
                  <w:r>
                    <w:rPr>
                      <w:kern w:val="2"/>
                      <w:lang w:val="en-US" w:eastAsia="zh-CN"/>
                    </w:rPr>
                    <w:t>10</w:t>
                  </w:r>
                </w:p>
              </w:tc>
              <w:tc>
                <w:tcPr>
                  <w:tcW w:w="1065" w:type="dxa"/>
                  <w:vAlign w:val="center"/>
                </w:tcPr>
                <w:p>
                  <w:pPr>
                    <w:pStyle w:val="41"/>
                    <w:rPr>
                      <w:kern w:val="2"/>
                      <w:lang w:val="en-US" w:eastAsia="zh-CN"/>
                    </w:rPr>
                  </w:pPr>
                  <w:r>
                    <w:rPr>
                      <w:kern w:val="2"/>
                      <w:lang w:val="en-US" w:eastAsia="zh-CN"/>
                    </w:rPr>
                    <w:t>50</w:t>
                  </w:r>
                </w:p>
              </w:tc>
              <w:tc>
                <w:tcPr>
                  <w:tcW w:w="1067" w:type="dxa"/>
                  <w:vAlign w:val="center"/>
                </w:tcPr>
                <w:p>
                  <w:pPr>
                    <w:pStyle w:val="41"/>
                    <w:rPr>
                      <w:kern w:val="2"/>
                      <w:lang w:val="en-US" w:eastAsia="zh-CN"/>
                    </w:rPr>
                  </w:pPr>
                  <w:r>
                    <w:rPr>
                      <w:kern w:val="2"/>
                      <w:lang w:val="en-US" w:eastAsia="zh-CN"/>
                    </w:rPr>
                    <w:t>1</w:t>
                  </w:r>
                </w:p>
              </w:tc>
              <w:tc>
                <w:tcPr>
                  <w:tcW w:w="763" w:type="dxa"/>
                  <w:vAlign w:val="center"/>
                </w:tcPr>
                <w:p>
                  <w:pPr>
                    <w:pStyle w:val="41"/>
                    <w:rPr>
                      <w:kern w:val="2"/>
                      <w:lang w:val="en-US" w:eastAsia="zh-CN"/>
                    </w:rPr>
                  </w:pPr>
                  <w:r>
                    <w:rPr>
                      <w:kern w:val="2"/>
                      <w:lang w:val="en-US" w:eastAsia="zh-CN"/>
                    </w:rPr>
                    <w:t>10</w:t>
                  </w:r>
                </w:p>
              </w:tc>
              <w:tc>
                <w:tcPr>
                  <w:tcW w:w="978" w:type="dxa"/>
                  <w:vAlign w:val="center"/>
                </w:tcPr>
                <w:p>
                  <w:pPr>
                    <w:pStyle w:val="41"/>
                    <w:rPr>
                      <w:kern w:val="2"/>
                      <w:lang w:val="en-US" w:eastAsia="zh-CN"/>
                    </w:rPr>
                  </w:pPr>
                  <w:r>
                    <w:rPr>
                      <w:kern w:val="2"/>
                      <w:lang w:val="en-US" w:eastAsia="zh-CN"/>
                    </w:rPr>
                    <w:t>5</w:t>
                  </w:r>
                </w:p>
              </w:tc>
            </w:tr>
          </w:tbl>
          <w:p>
            <w:pPr>
              <w:numPr>
                <w:ilvl w:val="0"/>
                <w:numId w:val="4"/>
              </w:numPr>
              <w:spacing w:line="480" w:lineRule="exact"/>
              <w:ind w:left="432" w:hanging="432"/>
              <w:rPr>
                <w:b/>
                <w:sz w:val="28"/>
                <w:szCs w:val="28"/>
              </w:rPr>
            </w:pPr>
            <w:r>
              <w:rPr>
                <w:rFonts w:hint="eastAsia"/>
                <w:b/>
                <w:sz w:val="28"/>
                <w:szCs w:val="28"/>
              </w:rPr>
              <w:t>噪声</w:t>
            </w:r>
          </w:p>
          <w:p>
            <w:pPr>
              <w:snapToGrid w:val="0"/>
              <w:spacing w:line="360" w:lineRule="auto"/>
              <w:ind w:firstLine="480" w:firstLineChars="200"/>
              <w:rPr>
                <w:sz w:val="24"/>
              </w:rPr>
            </w:pPr>
            <w:r>
              <w:rPr>
                <w:sz w:val="24"/>
              </w:rPr>
              <w:t>运营期</w:t>
            </w:r>
            <w:r>
              <w:rPr>
                <w:rFonts w:hint="eastAsia"/>
                <w:sz w:val="24"/>
              </w:rPr>
              <w:t>拟建项目</w:t>
            </w:r>
            <w:r>
              <w:rPr>
                <w:sz w:val="24"/>
              </w:rPr>
              <w:t>场界噪声排放执行《工业企业场界环境噪声排放标准》（GB12348-2008）中2类标准。标准值详见</w:t>
            </w:r>
            <w:r>
              <w:rPr>
                <w:rFonts w:hint="eastAsia"/>
                <w:sz w:val="24"/>
              </w:rPr>
              <w:t>下</w:t>
            </w:r>
            <w:r>
              <w:rPr>
                <w:sz w:val="24"/>
              </w:rPr>
              <w:t>表。</w:t>
            </w:r>
          </w:p>
          <w:p>
            <w:pPr>
              <w:keepNext w:val="0"/>
              <w:keepLines w:val="0"/>
              <w:pageBreakBefore w:val="0"/>
              <w:widowControl w:val="0"/>
              <w:kinsoku/>
              <w:wordWrap/>
              <w:overflowPunct/>
              <w:topLinePunct w:val="0"/>
              <w:autoSpaceDE/>
              <w:autoSpaceDN/>
              <w:bidi w:val="0"/>
              <w:adjustRightInd/>
              <w:snapToGrid/>
              <w:ind w:firstLine="0"/>
              <w:jc w:val="center"/>
              <w:textAlignment w:val="auto"/>
              <w:rPr>
                <w:sz w:val="24"/>
              </w:rPr>
            </w:pPr>
            <w:r>
              <w:rPr>
                <w:b/>
                <w:sz w:val="24"/>
              </w:rPr>
              <w:t>表</w:t>
            </w:r>
            <w:r>
              <w:rPr>
                <w:rFonts w:hint="eastAsia"/>
                <w:b/>
                <w:sz w:val="24"/>
              </w:rPr>
              <w:t>3</w:t>
            </w:r>
            <w:r>
              <w:rPr>
                <w:b/>
                <w:sz w:val="24"/>
              </w:rPr>
              <w:t>-</w:t>
            </w:r>
            <w:r>
              <w:rPr>
                <w:rFonts w:hint="eastAsia"/>
                <w:b/>
                <w:sz w:val="24"/>
                <w:lang w:val="en-US" w:eastAsia="zh-CN"/>
              </w:rPr>
              <w:t>7</w:t>
            </w:r>
            <w:r>
              <w:rPr>
                <w:b/>
                <w:sz w:val="24"/>
              </w:rPr>
              <w:t xml:space="preserve">  工业企业场界环境噪声排放标准限值  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9"/>
              <w:gridCol w:w="2261"/>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47" w:type="dxa"/>
                  <w:vAlign w:val="center"/>
                </w:tcPr>
                <w:p>
                  <w:pPr>
                    <w:pStyle w:val="41"/>
                    <w:rPr>
                      <w:b/>
                      <w:bCs/>
                      <w:kern w:val="2"/>
                      <w:lang w:val="en-US" w:eastAsia="zh-CN"/>
                    </w:rPr>
                  </w:pPr>
                  <w:r>
                    <w:rPr>
                      <w:b/>
                      <w:bCs/>
                      <w:kern w:val="2"/>
                      <w:lang w:val="en-US" w:eastAsia="zh-CN"/>
                    </w:rPr>
                    <w:t>执行标准</w:t>
                  </w:r>
                </w:p>
              </w:tc>
              <w:tc>
                <w:tcPr>
                  <w:tcW w:w="2229" w:type="dxa"/>
                  <w:vAlign w:val="center"/>
                </w:tcPr>
                <w:p>
                  <w:pPr>
                    <w:pStyle w:val="41"/>
                    <w:rPr>
                      <w:b/>
                      <w:bCs/>
                      <w:kern w:val="2"/>
                      <w:lang w:val="en-US" w:eastAsia="zh-CN"/>
                    </w:rPr>
                  </w:pPr>
                  <w:r>
                    <w:rPr>
                      <w:b/>
                      <w:bCs/>
                      <w:kern w:val="2"/>
                      <w:lang w:val="en-US" w:eastAsia="zh-CN"/>
                    </w:rPr>
                    <w:t>昼间</w:t>
                  </w:r>
                </w:p>
              </w:tc>
              <w:tc>
                <w:tcPr>
                  <w:tcW w:w="2074" w:type="dxa"/>
                  <w:vAlign w:val="center"/>
                </w:tcPr>
                <w:p>
                  <w:pPr>
                    <w:pStyle w:val="41"/>
                    <w:rPr>
                      <w:b/>
                      <w:bCs/>
                      <w:kern w:val="2"/>
                      <w:lang w:val="en-US" w:eastAsia="zh-CN"/>
                    </w:rPr>
                  </w:pPr>
                  <w:r>
                    <w:rPr>
                      <w:b/>
                      <w:bCs/>
                      <w:kern w:val="2"/>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7" w:type="dxa"/>
                  <w:vAlign w:val="center"/>
                </w:tcPr>
                <w:p>
                  <w:pPr>
                    <w:pStyle w:val="41"/>
                    <w:rPr>
                      <w:kern w:val="2"/>
                      <w:lang w:val="en-US" w:eastAsia="zh-CN"/>
                    </w:rPr>
                  </w:pPr>
                  <w:r>
                    <w:rPr>
                      <w:kern w:val="2"/>
                      <w:lang w:val="en-US" w:eastAsia="zh-CN"/>
                    </w:rPr>
                    <w:t xml:space="preserve">2类标准 </w:t>
                  </w:r>
                </w:p>
              </w:tc>
              <w:tc>
                <w:tcPr>
                  <w:tcW w:w="2229" w:type="dxa"/>
                  <w:vAlign w:val="center"/>
                </w:tcPr>
                <w:p>
                  <w:pPr>
                    <w:pStyle w:val="41"/>
                    <w:rPr>
                      <w:kern w:val="2"/>
                      <w:lang w:val="en-US" w:eastAsia="zh-CN"/>
                    </w:rPr>
                  </w:pPr>
                  <w:r>
                    <w:rPr>
                      <w:kern w:val="2"/>
                      <w:lang w:val="en-US" w:eastAsia="zh-CN"/>
                    </w:rPr>
                    <w:t>60</w:t>
                  </w:r>
                </w:p>
              </w:tc>
              <w:tc>
                <w:tcPr>
                  <w:tcW w:w="2074" w:type="dxa"/>
                  <w:vAlign w:val="center"/>
                </w:tcPr>
                <w:p>
                  <w:pPr>
                    <w:pStyle w:val="41"/>
                    <w:rPr>
                      <w:kern w:val="2"/>
                      <w:lang w:val="en-US" w:eastAsia="zh-CN"/>
                    </w:rPr>
                  </w:pPr>
                  <w:r>
                    <w:rPr>
                      <w:kern w:val="2"/>
                      <w:lang w:val="en-US" w:eastAsia="zh-CN"/>
                    </w:rPr>
                    <w:t>50</w:t>
                  </w:r>
                </w:p>
              </w:tc>
            </w:tr>
          </w:tbl>
          <w:p>
            <w:pPr>
              <w:pStyle w:val="2"/>
              <w:keepNext w:val="0"/>
              <w:keepLines w:val="0"/>
              <w:pageBreakBefore w:val="0"/>
              <w:widowControl/>
              <w:numPr>
                <w:ilvl w:val="0"/>
                <w:numId w:val="4"/>
              </w:numPr>
              <w:kinsoku/>
              <w:wordWrap/>
              <w:overflowPunct/>
              <w:topLinePunct w:val="0"/>
              <w:autoSpaceDE/>
              <w:autoSpaceDN/>
              <w:bidi w:val="0"/>
              <w:adjustRightInd/>
              <w:snapToGrid w:val="0"/>
              <w:ind w:left="431" w:hanging="431" w:firstLineChars="0"/>
              <w:textAlignment w:val="auto"/>
              <w:rPr>
                <w:b/>
                <w:kern w:val="2"/>
                <w:sz w:val="28"/>
                <w:szCs w:val="28"/>
                <w:lang w:val="en-US" w:eastAsia="zh-CN"/>
              </w:rPr>
            </w:pPr>
            <w:r>
              <w:rPr>
                <w:rFonts w:hint="eastAsia"/>
                <w:b/>
                <w:kern w:val="2"/>
                <w:sz w:val="28"/>
                <w:szCs w:val="28"/>
                <w:lang w:val="en-US" w:eastAsia="zh-CN"/>
              </w:rPr>
              <w:t>固体废物</w:t>
            </w:r>
          </w:p>
          <w:p>
            <w:pPr>
              <w:pStyle w:val="2"/>
              <w:ind w:firstLine="480"/>
              <w:rPr>
                <w:lang w:val="en-US" w:eastAsia="zh-CN"/>
              </w:rPr>
            </w:pPr>
            <w:r>
              <w:rPr>
                <w:lang w:val="en-US" w:eastAsia="zh-CN"/>
              </w:rPr>
              <w:t>危险废物执行《危险废物贮存污染控制标准》（GB18597-2001）及2013年修改通知单中有关规定。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tcBorders>
              <w:top w:val="single" w:color="auto" w:sz="8" w:space="0"/>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tcBorders>
              <w:top w:val="single" w:color="auto" w:sz="8" w:space="0"/>
            </w:tcBorders>
            <w:vAlign w:val="top"/>
          </w:tcPr>
          <w:p>
            <w:pPr>
              <w:widowControl/>
              <w:spacing w:line="360" w:lineRule="auto"/>
              <w:ind w:firstLine="480" w:firstLineChars="200"/>
              <w:jc w:val="both"/>
              <w:rPr>
                <w:sz w:val="24"/>
              </w:rPr>
            </w:pPr>
            <w:r>
              <w:rPr>
                <w:rFonts w:hint="eastAsia"/>
                <w:sz w:val="24"/>
              </w:rPr>
              <w:t>本项目属于</w:t>
            </w:r>
            <w:r>
              <w:rPr>
                <w:sz w:val="24"/>
              </w:rPr>
              <w:t>《固定污染源排污许可分类管理名录（2019年版）》</w:t>
            </w:r>
            <w:r>
              <w:rPr>
                <w:rFonts w:hint="eastAsia"/>
                <w:sz w:val="24"/>
              </w:rPr>
              <w:t>中</w:t>
            </w:r>
            <w:r>
              <w:rPr>
                <w:rFonts w:hint="eastAsia" w:ascii="宋体" w:hAnsi="宋体" w:cs="宋体"/>
                <w:sz w:val="24"/>
              </w:rPr>
              <w:t>“</w:t>
            </w:r>
            <w:r>
              <w:rPr>
                <w:rFonts w:hint="eastAsia"/>
                <w:sz w:val="24"/>
              </w:rPr>
              <w:t>108-除1-107外的其他行业</w:t>
            </w:r>
            <w:r>
              <w:rPr>
                <w:sz w:val="24"/>
              </w:rPr>
              <w:t>”，</w:t>
            </w:r>
            <w:r>
              <w:rPr>
                <w:rFonts w:hint="eastAsia"/>
                <w:sz w:val="24"/>
              </w:rPr>
              <w:t>本项目不属于“涉及通用工序重点管理的，存在本名录第七条规定情形之一的”、“涉及通用工序简化管理的”、“涉及通用工序登记管理的”。</w:t>
            </w:r>
          </w:p>
          <w:p>
            <w:pPr>
              <w:widowControl/>
              <w:spacing w:line="360" w:lineRule="auto"/>
              <w:ind w:firstLine="480" w:firstLineChars="200"/>
              <w:jc w:val="both"/>
              <w:rPr>
                <w:rFonts w:hint="eastAsia" w:eastAsia="宋体"/>
                <w:sz w:val="24"/>
                <w:lang w:eastAsia="zh-CN"/>
              </w:rPr>
            </w:pPr>
            <w:r>
              <w:rPr>
                <w:rFonts w:hint="eastAsia"/>
                <w:sz w:val="24"/>
              </w:rPr>
              <w:t>故本项目无需纳入排污许可管理</w:t>
            </w:r>
            <w:r>
              <w:rPr>
                <w:rFonts w:hint="eastAsia"/>
                <w:sz w:val="24"/>
                <w:lang w:eastAsia="zh-CN"/>
              </w:rPr>
              <w:t>。</w:t>
            </w: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80" w:firstLineChars="200"/>
              <w:jc w:val="both"/>
              <w:rPr>
                <w:rFonts w:hint="eastAsia"/>
                <w:sz w:val="24"/>
              </w:rPr>
            </w:pPr>
          </w:p>
          <w:p>
            <w:pPr>
              <w:widowControl/>
              <w:spacing w:line="360" w:lineRule="auto"/>
              <w:ind w:firstLine="420" w:firstLineChars="200"/>
              <w:jc w:val="both"/>
            </w:pPr>
          </w:p>
        </w:tc>
      </w:tr>
    </w:tbl>
    <w:p>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2" w:name="_Toc3423"/>
      <w:r>
        <w:rPr>
          <w:rStyle w:val="30"/>
          <w:rFonts w:hint="eastAsia"/>
        </w:rPr>
        <w:t>四、主要环境影响和保护措施</w:t>
      </w:r>
      <w:bookmarkEnd w:id="12"/>
    </w:p>
    <w:tbl>
      <w:tblPr>
        <w:tblStyle w:val="2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3" w:hRule="atLeast"/>
          <w:jc w:val="center"/>
        </w:trPr>
        <w:tc>
          <w:tcPr>
            <w:tcW w:w="746" w:type="dxa"/>
            <w:tcMar>
              <w:left w:w="28" w:type="dxa"/>
              <w:right w:w="28" w:type="dxa"/>
            </w:tcMar>
            <w:vAlign w:val="center"/>
          </w:tcPr>
          <w:p>
            <w:pPr>
              <w:pStyle w:val="19"/>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施工</w:t>
            </w:r>
          </w:p>
          <w:p>
            <w:pPr>
              <w:pStyle w:val="19"/>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期环</w:t>
            </w:r>
          </w:p>
          <w:p>
            <w:pPr>
              <w:pStyle w:val="19"/>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境保</w:t>
            </w:r>
          </w:p>
          <w:p>
            <w:pPr>
              <w:pStyle w:val="19"/>
              <w:adjustRightInd w:val="0"/>
              <w:snapToGrid w:val="0"/>
              <w:spacing w:before="0" w:beforeAutospacing="0" w:after="0" w:afterAutospacing="0"/>
              <w:jc w:val="center"/>
              <w:rPr>
                <w:rFonts w:cs="宋体"/>
                <w:kern w:val="2"/>
                <w:sz w:val="21"/>
                <w:szCs w:val="21"/>
                <w:lang w:val="en-US" w:eastAsia="zh-CN"/>
              </w:rPr>
            </w:pPr>
            <w:r>
              <w:rPr>
                <w:rFonts w:hint="eastAsia" w:cs="宋体"/>
                <w:kern w:val="2"/>
                <w:sz w:val="21"/>
                <w:szCs w:val="21"/>
                <w:lang w:val="en-US" w:eastAsia="zh-CN"/>
              </w:rPr>
              <w:t>护措</w:t>
            </w:r>
          </w:p>
          <w:p>
            <w:pPr>
              <w:pStyle w:val="19"/>
              <w:adjustRightInd w:val="0"/>
              <w:snapToGrid w:val="0"/>
              <w:spacing w:before="0" w:beforeAutospacing="0" w:after="0" w:afterAutospacing="0"/>
              <w:jc w:val="center"/>
              <w:rPr>
                <w:rFonts w:cs="宋体"/>
                <w:bCs/>
                <w:kern w:val="2"/>
                <w:sz w:val="21"/>
                <w:szCs w:val="21"/>
                <w:lang w:val="en-US" w:eastAsia="zh-CN"/>
              </w:rPr>
            </w:pPr>
            <w:r>
              <w:rPr>
                <w:rFonts w:hint="eastAsia" w:cs="宋体"/>
                <w:kern w:val="2"/>
                <w:sz w:val="21"/>
                <w:szCs w:val="21"/>
                <w:lang w:val="en-US" w:eastAsia="zh-CN"/>
              </w:rPr>
              <w:t>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1、施工</w:t>
            </w:r>
            <w:r>
              <w:rPr>
                <w:rFonts w:hint="eastAsia"/>
                <w:sz w:val="24"/>
                <w:szCs w:val="24"/>
              </w:rPr>
              <w:t>废气</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一、</w:t>
            </w:r>
            <w:r>
              <w:rPr>
                <w:sz w:val="24"/>
                <w:szCs w:val="24"/>
              </w:rPr>
              <w:t>扬尘</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根据《黄山市建设工程扬尘污染防治管理办法》，建筑工程施工扬尘治理措施应当符合下列规定：</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（1）施工现场围挡高度符合《建筑施工安全检查标准》(JGJ59-2011)要求,围挡应连续、密闭、坚固、稳定、整洁、美观。围挡高度不应低于3</w:t>
            </w:r>
            <w:r>
              <w:rPr>
                <w:rFonts w:hint="eastAsia"/>
              </w:rPr>
              <w:t>m</w:t>
            </w:r>
            <w:r>
              <w:t>，喷雾设备间距不宜小于3</w:t>
            </w:r>
            <w:r>
              <w:rPr>
                <w:rFonts w:hint="eastAsia"/>
              </w:rPr>
              <w:t>m</w:t>
            </w:r>
            <w:r>
              <w:t>，不应大于4</w:t>
            </w:r>
            <w:r>
              <w:rPr>
                <w:rFonts w:hint="eastAsia"/>
              </w:rPr>
              <w:t>m</w:t>
            </w:r>
            <w:r>
              <w:t>。</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2）施工现场出入口、场内道路、作业区、加工场、生活区、办公区等地面必须进行硬化；非作业面裸土必须绿化或严密覆盖，作业面裸土在作业完成后应立即进行严密覆盖。覆盖所用防尘网采用密目网时目数不应小于2000目/cm2，采用遮阳网时不应少于6针。</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（3）施工现场主出入口处应设置车辆自动冲洗设施及排水沟槽、沉淀池等设施且能够有效使用；机动车辆（运输车辆）必须除泥、冲洗干净后方可驶出作业场所（施工现场）。</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（4）施工现场污水必须有组织排放，设置沉淀池，污水应尽可能循环使用，少数不能循环使用的应经处理达标后方可排放。泥浆、污水未经沉淀严禁直接排入河道或下水道内，泥浆不得外漏。</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（5）施工机具、建筑材料应堆放有序，标识清晰；易产生扬尘的散体建筑材料必须密闭存放，场内运输不得产生扬尘；切割作业等应采取防尘措施。</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（6）施工现场内未在48小时内清运完毕的渣土，必须集中堆放，并采取围挡、严密遮盖等防尘措施。</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（7）建筑垃圾应及时清运。建筑垃圾等无法在48</w:t>
            </w:r>
            <w:r>
              <w:rPr>
                <w:rFonts w:hint="eastAsia"/>
              </w:rPr>
              <w:t>h</w:t>
            </w:r>
            <w:r>
              <w:t>内清运完毕的，应放在工地设置的临时密闭堆场存放。</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（8）施工作业环境要整洁干净，应设置洒水或雾化降尘设施，安排专人定时洒水降尘；硬化后的地面，不得有浮土、积灰，大风天气不应有可见的扬尘浮灰</w:t>
            </w:r>
            <w:r>
              <w:rPr>
                <w:rFonts w:hint="eastAsia"/>
              </w:rPr>
              <w:t>。</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（9）启动Ⅲ级（黄色）或以上重污染天气预警或气象预报风速达到四级以上时，不得进行土方挖填、转运等易产生扬尘的作业。</w:t>
            </w:r>
          </w:p>
          <w:p>
            <w:pPr>
              <w:pStyle w:val="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t>（10）建设工程应按规定使用商品混凝土和预拌砂浆。</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（11）施工现场要设立扬尘污染防治公示牌，公布责任单位、责任人和监督举报电话，自觉接受社会监督。</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二、</w:t>
            </w:r>
            <w:r>
              <w:rPr>
                <w:sz w:val="24"/>
                <w:szCs w:val="24"/>
              </w:rPr>
              <w:t>其他废气防治措施</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（1）</w:t>
            </w:r>
            <w:r>
              <w:rPr>
                <w:sz w:val="24"/>
                <w:szCs w:val="24"/>
              </w:rPr>
              <w:t>运输车辆严禁超载运输，避免超过车载负荷而尾气排放量呈几何级数上升；</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（2）</w:t>
            </w:r>
            <w:r>
              <w:rPr>
                <w:sz w:val="24"/>
                <w:szCs w:val="24"/>
              </w:rPr>
              <w:t>运输车辆和施工机械要及时进行保养，保证其正常运行，避免因机械保养不当而导致的尾气排放量增大，对于排放量严重超标的机械应禁止使用；</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（3）</w:t>
            </w:r>
            <w:r>
              <w:rPr>
                <w:sz w:val="24"/>
                <w:szCs w:val="24"/>
              </w:rPr>
              <w:t>提升燃油品质，使用符合标准的车用汽、柴油；</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（4）</w:t>
            </w:r>
            <w:r>
              <w:rPr>
                <w:sz w:val="24"/>
                <w:szCs w:val="24"/>
              </w:rPr>
              <w:t>加强交通疏导，减少汽车怠速行驶尾气排放。</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rFonts w:hint="eastAsia"/>
                <w:sz w:val="24"/>
                <w:szCs w:val="24"/>
              </w:rPr>
              <w:t>（5）</w:t>
            </w:r>
            <w:r>
              <w:rPr>
                <w:sz w:val="24"/>
                <w:szCs w:val="24"/>
              </w:rPr>
              <w:t>采用环保建筑材料进行装修，油漆、涂料等装修材料的选取应按照国家质检总局颁布的《室内装修材料有害物质限量》规定进行，严格控制室内甲醛、苯系物等挥发性有机物的排放。</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2、废水</w:t>
            </w:r>
          </w:p>
          <w:p>
            <w:pPr>
              <w:spacing w:line="360" w:lineRule="auto"/>
              <w:ind w:firstLine="564" w:firstLineChars="235"/>
              <w:rPr>
                <w:rFonts w:hint="default"/>
                <w:sz w:val="24"/>
                <w:szCs w:val="24"/>
              </w:rPr>
            </w:pPr>
            <w:r>
              <w:rPr>
                <w:rFonts w:hint="default"/>
                <w:sz w:val="24"/>
                <w:szCs w:val="24"/>
              </w:rPr>
              <w:t>项目施工期废水主要有施工活动产生的施工废水和施工人员的生活污水。</w:t>
            </w:r>
          </w:p>
          <w:p>
            <w:pPr>
              <w:spacing w:line="360" w:lineRule="auto"/>
              <w:ind w:firstLine="480" w:firstLineChars="200"/>
              <w:rPr>
                <w:rFonts w:hint="default"/>
                <w:sz w:val="24"/>
                <w:szCs w:val="24"/>
              </w:rPr>
            </w:pPr>
            <w:r>
              <w:rPr>
                <w:rFonts w:hint="default"/>
                <w:sz w:val="24"/>
                <w:szCs w:val="24"/>
              </w:rPr>
              <w:t>施工废水主要来自墙面的冲洗、构件与装修材料的保湿等工序，废水中主要污染物为悬浮物。项目装修施工活动较小，施工期废水排放量很少，且废水中无有毒、难降解物质，经沉淀处理后回用。</w:t>
            </w:r>
          </w:p>
          <w:p>
            <w:pPr>
              <w:spacing w:line="360" w:lineRule="auto"/>
              <w:ind w:firstLine="480" w:firstLineChars="200"/>
              <w:rPr>
                <w:rFonts w:hint="default"/>
                <w:sz w:val="24"/>
                <w:szCs w:val="24"/>
              </w:rPr>
            </w:pPr>
            <w:r>
              <w:rPr>
                <w:rFonts w:hint="default"/>
                <w:sz w:val="24"/>
                <w:szCs w:val="24"/>
                <w:lang w:eastAsia="zh-CN"/>
              </w:rPr>
              <w:t>现场</w:t>
            </w:r>
            <w:r>
              <w:rPr>
                <w:rFonts w:hint="default"/>
                <w:sz w:val="24"/>
                <w:szCs w:val="24"/>
              </w:rPr>
              <w:t>施工人员产生的生活污水依托</w:t>
            </w:r>
            <w:r>
              <w:rPr>
                <w:rFonts w:hint="default"/>
                <w:sz w:val="24"/>
                <w:szCs w:val="24"/>
                <w:lang w:val="en-US" w:eastAsia="zh-CN"/>
              </w:rPr>
              <w:t>临时厕所收集后经</w:t>
            </w:r>
            <w:r>
              <w:rPr>
                <w:rFonts w:hint="default"/>
                <w:sz w:val="24"/>
                <w:szCs w:val="24"/>
              </w:rPr>
              <w:t>化粪池预处理达到《污水综合排放标准》（GB8978-1996）表4中的三级标准，以及氨氮达到《污水排入城镇下水道水质标准》（GB/T31962-2015）表1中B级标准限值，经过园区污水管网进入</w:t>
            </w:r>
            <w:r>
              <w:rPr>
                <w:rFonts w:hint="default"/>
                <w:sz w:val="24"/>
                <w:szCs w:val="24"/>
                <w:lang w:eastAsia="zh-CN"/>
              </w:rPr>
              <w:t>黄山市第二</w:t>
            </w:r>
            <w:r>
              <w:rPr>
                <w:rFonts w:hint="default"/>
                <w:sz w:val="24"/>
                <w:szCs w:val="24"/>
              </w:rPr>
              <w:t>污水处理厂处理，达到《城镇污水处理厂污染物排放标准》（GB18918-2002）一级A标准后排入</w:t>
            </w:r>
            <w:r>
              <w:rPr>
                <w:rFonts w:hint="default"/>
                <w:sz w:val="24"/>
                <w:szCs w:val="24"/>
                <w:lang w:eastAsia="zh-CN"/>
              </w:rPr>
              <w:t>横江</w:t>
            </w:r>
            <w:r>
              <w:rPr>
                <w:rFonts w:hint="default"/>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3、噪声</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为进一步减少施工噪声对声环境的影响，建设单位应采取以下防治措施：</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1）应严格执行《中华人民共和国噪声污染防治法》和《建筑施工场界环境噪声排放标准》（GB12523-2011），采用低噪声施工机械和先进工艺进行施工，施工机械设备要加强保养和维护，保持良好的工况。日常必须加强对施工人员的管理，减少人为原因产生的高噪声。</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（2）合理安排施工计划和施工机械设备组合以及施工时间，禁止高噪声机械在中午和晚间休息的时间进行作业。</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项目夜间施工应提前15日向当地生态环境主管部门提出申请，获得许可后方可在指定时段进行，并公告附近居民，以取得谅解。</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（3）控制声源，选择低噪声的机械设备，加强现场运输管理，对施工车辆造成的噪声影响要加强管理，运输车辆尽量采用较低声级的喇叭，并在所经过的道路敏感点禁止鸣笛。</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（4）尽量避免多台高噪声施工机械联合作业，采取适当的封闭和隔声措施。</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（5）在高噪声设备周围和施工场界设隔声屏障或设置可移动的声屏障，对场地内高噪声设备进行基础减振。</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sz w:val="24"/>
                <w:szCs w:val="24"/>
              </w:rPr>
            </w:pPr>
            <w:r>
              <w:rPr>
                <w:sz w:val="24"/>
                <w:szCs w:val="24"/>
              </w:rPr>
              <w:t>4、固废</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lang w:val="zh-CN"/>
              </w:rPr>
            </w:pPr>
            <w:r>
              <w:rPr>
                <w:sz w:val="24"/>
                <w:szCs w:val="24"/>
                <w:lang w:val="zh-CN"/>
              </w:rPr>
              <w:t>（</w:t>
            </w:r>
            <w:r>
              <w:rPr>
                <w:sz w:val="24"/>
                <w:szCs w:val="24"/>
              </w:rPr>
              <w:t>1</w:t>
            </w:r>
            <w:r>
              <w:rPr>
                <w:sz w:val="24"/>
                <w:szCs w:val="24"/>
                <w:lang w:val="zh-CN"/>
              </w:rPr>
              <w:t>）施工弃土</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rPr>
              <w:t>项目场地不设临时弃土场，除开挖的表层土在场区内临时堆存用于绿化覆土外，工程开挖产生的弃方做到随挖随走，由黄山市市容局统一调配运至周边场地低洼处回填。</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lang w:val="zh-CN"/>
              </w:rPr>
            </w:pPr>
            <w:r>
              <w:rPr>
                <w:sz w:val="24"/>
                <w:szCs w:val="24"/>
                <w:lang w:val="zh-CN"/>
              </w:rPr>
              <w:t>（</w:t>
            </w:r>
            <w:r>
              <w:rPr>
                <w:sz w:val="24"/>
                <w:szCs w:val="24"/>
              </w:rPr>
              <w:t>2</w:t>
            </w:r>
            <w:r>
              <w:rPr>
                <w:sz w:val="24"/>
                <w:szCs w:val="24"/>
                <w:lang w:val="zh-CN"/>
              </w:rPr>
              <w:t>）建筑垃圾和装修垃圾</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lang w:val="zh-CN"/>
              </w:rPr>
              <w:t>本项目施工过程中产生的建筑垃圾和装修垃圾，</w:t>
            </w:r>
            <w:r>
              <w:rPr>
                <w:sz w:val="24"/>
                <w:szCs w:val="24"/>
              </w:rPr>
              <w:t>对此应尽可能综合利用，不能综合利用的</w:t>
            </w:r>
            <w:r>
              <w:rPr>
                <w:sz w:val="24"/>
                <w:szCs w:val="24"/>
                <w:lang w:val="zh-CN"/>
              </w:rPr>
              <w:t>部分集中堆放，及时清运至指定的弃渣堆放场。</w:t>
            </w:r>
          </w:p>
          <w:p>
            <w:pPr>
              <w:pStyle w:val="8"/>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textAlignment w:val="auto"/>
              <w:rPr>
                <w:sz w:val="24"/>
                <w:szCs w:val="24"/>
              </w:rPr>
            </w:pPr>
            <w:r>
              <w:rPr>
                <w:sz w:val="24"/>
                <w:szCs w:val="24"/>
              </w:rPr>
              <w:t>生活垃圾</w:t>
            </w:r>
          </w:p>
          <w:p>
            <w:pPr>
              <w:pStyle w:val="8"/>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4"/>
                <w:szCs w:val="24"/>
              </w:rPr>
            </w:pPr>
            <w:r>
              <w:rPr>
                <w:sz w:val="24"/>
                <w:szCs w:val="24"/>
                <w:lang w:val="zh-CN"/>
              </w:rPr>
              <w:t>生活垃圾</w:t>
            </w:r>
            <w:r>
              <w:rPr>
                <w:rFonts w:hint="eastAsia"/>
                <w:sz w:val="24"/>
                <w:szCs w:val="24"/>
              </w:rPr>
              <w:t>分类</w:t>
            </w:r>
            <w:r>
              <w:rPr>
                <w:sz w:val="24"/>
                <w:szCs w:val="24"/>
                <w:lang w:val="zh-CN"/>
              </w:rPr>
              <w:t>收集，</w:t>
            </w:r>
            <w:r>
              <w:rPr>
                <w:rFonts w:hint="eastAsia"/>
                <w:sz w:val="24"/>
                <w:szCs w:val="24"/>
              </w:rPr>
              <w:t>能回收利用的外售回收利用，不能回收利用的</w:t>
            </w:r>
            <w:r>
              <w:rPr>
                <w:rFonts w:hint="eastAsia"/>
                <w:sz w:val="24"/>
                <w:szCs w:val="24"/>
                <w:lang w:val="zh-CN"/>
              </w:rPr>
              <w:t>交由环卫部门清运</w:t>
            </w:r>
            <w:r>
              <w:rPr>
                <w:rFonts w:hint="eastAsia"/>
                <w:sz w:val="24"/>
                <w:szCs w:val="24"/>
              </w:rPr>
              <w:t>至黄山市</w:t>
            </w:r>
            <w:r>
              <w:rPr>
                <w:sz w:val="24"/>
                <w:szCs w:val="24"/>
              </w:rPr>
              <w:t>生活垃圾</w:t>
            </w:r>
            <w:r>
              <w:rPr>
                <w:rFonts w:hint="eastAsia"/>
                <w:sz w:val="24"/>
                <w:szCs w:val="24"/>
              </w:rPr>
              <w:t>综合处理</w:t>
            </w:r>
            <w:r>
              <w:rPr>
                <w:sz w:val="24"/>
                <w:szCs w:val="24"/>
              </w:rPr>
              <w:t>厂</w:t>
            </w:r>
            <w:r>
              <w:rPr>
                <w:rFonts w:hint="eastAsia"/>
                <w:sz w:val="24"/>
                <w:szCs w:val="24"/>
              </w:rPr>
              <w:t>焚烧处置</w:t>
            </w:r>
            <w:r>
              <w:rPr>
                <w:sz w:val="24"/>
                <w:szCs w:val="24"/>
                <w:lang w:val="zh-CN"/>
              </w:rPr>
              <w:t>。</w:t>
            </w:r>
          </w:p>
          <w:p>
            <w:pPr>
              <w:spacing w:line="360" w:lineRule="auto"/>
              <w:rPr>
                <w:sz w:val="24"/>
                <w:szCs w:val="24"/>
              </w:rPr>
            </w:pPr>
            <w:r>
              <w:rPr>
                <w:rFonts w:hint="eastAsia"/>
                <w:sz w:val="24"/>
                <w:szCs w:val="24"/>
              </w:rPr>
              <w:t>5、</w:t>
            </w:r>
            <w:r>
              <w:rPr>
                <w:sz w:val="24"/>
                <w:szCs w:val="24"/>
              </w:rPr>
              <w:t>生态</w:t>
            </w:r>
          </w:p>
          <w:p>
            <w:pPr>
              <w:spacing w:line="360" w:lineRule="auto"/>
              <w:ind w:firstLine="480" w:firstLineChars="200"/>
              <w:rPr>
                <w:sz w:val="24"/>
                <w:szCs w:val="24"/>
                <w:lang w:val="zh-CN"/>
              </w:rPr>
            </w:pPr>
            <w:r>
              <w:rPr>
                <w:sz w:val="24"/>
                <w:szCs w:val="24"/>
                <w:lang w:val="zh-CN"/>
              </w:rPr>
              <w:t>（</w:t>
            </w:r>
            <w:r>
              <w:rPr>
                <w:sz w:val="24"/>
                <w:szCs w:val="24"/>
              </w:rPr>
              <w:t>1</w:t>
            </w:r>
            <w:r>
              <w:rPr>
                <w:sz w:val="24"/>
                <w:szCs w:val="24"/>
                <w:lang w:val="zh-CN"/>
              </w:rPr>
              <w:t>）生物量损失</w:t>
            </w:r>
          </w:p>
          <w:p>
            <w:pPr>
              <w:adjustRightInd w:val="0"/>
              <w:snapToGrid w:val="0"/>
              <w:spacing w:line="360" w:lineRule="auto"/>
              <w:ind w:firstLine="480" w:firstLineChars="200"/>
              <w:rPr>
                <w:sz w:val="24"/>
                <w:szCs w:val="24"/>
              </w:rPr>
            </w:pPr>
            <w:r>
              <w:rPr>
                <w:rFonts w:hint="eastAsia"/>
                <w:sz w:val="24"/>
                <w:szCs w:val="24"/>
                <w:lang w:val="zh-CN"/>
              </w:rPr>
              <w:t>拟建项目</w:t>
            </w:r>
            <w:r>
              <w:rPr>
                <w:sz w:val="24"/>
                <w:szCs w:val="24"/>
                <w:lang w:val="zh-CN"/>
              </w:rPr>
              <w:t>占地面积约为</w:t>
            </w:r>
            <w:r>
              <w:rPr>
                <w:rFonts w:hint="eastAsia"/>
                <w:sz w:val="24"/>
                <w:szCs w:val="24"/>
              </w:rPr>
              <w:t>25261.99</w:t>
            </w:r>
            <w:r>
              <w:rPr>
                <w:sz w:val="24"/>
                <w:szCs w:val="24"/>
              </w:rPr>
              <w:t>m</w:t>
            </w:r>
            <w:r>
              <w:rPr>
                <w:sz w:val="24"/>
                <w:szCs w:val="24"/>
                <w:vertAlign w:val="superscript"/>
              </w:rPr>
              <w:t>2</w:t>
            </w:r>
            <w:r>
              <w:rPr>
                <w:sz w:val="24"/>
                <w:szCs w:val="24"/>
              </w:rPr>
              <w:t>，现状为</w:t>
            </w:r>
            <w:r>
              <w:rPr>
                <w:rFonts w:hint="eastAsia"/>
                <w:sz w:val="24"/>
                <w:szCs w:val="24"/>
                <w:lang w:val="en-US" w:eastAsia="zh-CN"/>
              </w:rPr>
              <w:t>空</w:t>
            </w:r>
            <w:r>
              <w:rPr>
                <w:rFonts w:hint="eastAsia"/>
                <w:sz w:val="24"/>
                <w:szCs w:val="24"/>
              </w:rPr>
              <w:t>地。项目建成后生物量损失较小。</w:t>
            </w:r>
          </w:p>
          <w:p>
            <w:pPr>
              <w:numPr>
                <w:ilvl w:val="0"/>
                <w:numId w:val="6"/>
              </w:numPr>
              <w:spacing w:line="360" w:lineRule="auto"/>
              <w:ind w:firstLine="480" w:firstLineChars="200"/>
              <w:rPr>
                <w:sz w:val="24"/>
                <w:szCs w:val="24"/>
                <w:lang w:val="zh-CN"/>
              </w:rPr>
            </w:pPr>
            <w:r>
              <w:rPr>
                <w:sz w:val="24"/>
                <w:szCs w:val="24"/>
                <w:lang w:val="zh-CN"/>
              </w:rPr>
              <w:t>水土流失</w:t>
            </w:r>
          </w:p>
          <w:p>
            <w:pPr>
              <w:spacing w:line="360" w:lineRule="auto"/>
              <w:ind w:firstLine="480" w:firstLineChars="200"/>
              <w:rPr>
                <w:sz w:val="24"/>
                <w:szCs w:val="24"/>
                <w:lang w:val="zh-CN"/>
              </w:rPr>
            </w:pPr>
            <w:r>
              <w:rPr>
                <w:sz w:val="24"/>
                <w:szCs w:val="24"/>
                <w:lang w:val="zh-CN"/>
              </w:rPr>
              <w:t>项目在边坡、地下层开挖等施工过程中有少量的新增水土流失量，主要集中为雨季时雨水对裸露地面的直接冲溅和形成的地表径流的冲刷会引起水土流失，项目区采取避开雨季施工、临时开挖土方堆场设置围挡</w:t>
            </w:r>
            <w:r>
              <w:rPr>
                <w:rFonts w:hint="eastAsia"/>
                <w:sz w:val="24"/>
                <w:szCs w:val="24"/>
                <w:lang w:val="zh-CN"/>
              </w:rPr>
              <w:t>覆盖</w:t>
            </w:r>
            <w:r>
              <w:rPr>
                <w:sz w:val="24"/>
                <w:szCs w:val="24"/>
                <w:lang w:val="zh-CN"/>
              </w:rPr>
              <w:t>、土方四周设置雨水沟、沉淀池、施工表层土单独存放、施工结束后及时回填用于绿化表层土、山体边坡采用挡墙、四周设置防洪沟等措施，水体流失量较小且不会影响周围水体环境。</w:t>
            </w:r>
          </w:p>
          <w:p>
            <w:pPr>
              <w:pStyle w:val="2"/>
              <w:ind w:firstLine="480"/>
              <w:rPr>
                <w:sz w:val="24"/>
                <w:szCs w:val="24"/>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p>
            <w:pPr>
              <w:pStyle w:val="2"/>
              <w:rPr>
                <w:lang w:val="en-US" w:eastAsia="zh-CN"/>
              </w:rPr>
            </w:pPr>
          </w:p>
          <w:p>
            <w:pPr>
              <w:rPr>
                <w:lang w:val="en-US" w:eastAsia="zh-CN"/>
              </w:rPr>
            </w:pPr>
          </w:p>
        </w:tc>
      </w:tr>
    </w:tbl>
    <w:p>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49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7" w:hRule="atLeast"/>
          <w:jc w:val="center"/>
        </w:trPr>
        <w:tc>
          <w:tcPr>
            <w:tcW w:w="187" w:type="pct"/>
            <w:tcMar>
              <w:left w:w="28" w:type="dxa"/>
              <w:right w:w="28" w:type="dxa"/>
            </w:tcMar>
            <w:vAlign w:val="center"/>
          </w:tcPr>
          <w:p>
            <w:pPr>
              <w:adjustRightInd w:val="0"/>
              <w:snapToGrid w:val="0"/>
              <w:rPr>
                <w:rFonts w:ascii="宋体" w:hAnsi="宋体" w:cs="宋体"/>
                <w:bCs/>
                <w:szCs w:val="21"/>
              </w:rPr>
            </w:pPr>
          </w:p>
          <w:p>
            <w:pPr>
              <w:adjustRightInd w:val="0"/>
              <w:snapToGrid w:val="0"/>
              <w:jc w:val="center"/>
              <w:rPr>
                <w:rFonts w:ascii="宋体" w:hAnsi="宋体" w:cs="宋体"/>
                <w:bCs/>
                <w:sz w:val="24"/>
              </w:rPr>
            </w:pPr>
            <w:r>
              <w:rPr>
                <w:rFonts w:hint="eastAsia" w:ascii="宋体" w:hAnsi="宋体" w:cs="宋体"/>
                <w:bCs/>
                <w:sz w:val="24"/>
              </w:rPr>
              <w:t>运营</w:t>
            </w:r>
          </w:p>
          <w:p>
            <w:pPr>
              <w:adjustRightInd w:val="0"/>
              <w:snapToGrid w:val="0"/>
              <w:jc w:val="center"/>
              <w:rPr>
                <w:rFonts w:ascii="宋体" w:hAnsi="宋体" w:cs="宋体"/>
                <w:bCs/>
                <w:sz w:val="24"/>
              </w:rPr>
            </w:pPr>
            <w:r>
              <w:rPr>
                <w:rFonts w:hint="eastAsia" w:ascii="宋体" w:hAnsi="宋体" w:cs="宋体"/>
                <w:bCs/>
                <w:sz w:val="24"/>
              </w:rPr>
              <w:t>期环</w:t>
            </w:r>
          </w:p>
          <w:p>
            <w:pPr>
              <w:adjustRightInd w:val="0"/>
              <w:snapToGrid w:val="0"/>
              <w:jc w:val="center"/>
              <w:rPr>
                <w:rFonts w:ascii="宋体" w:hAnsi="宋体" w:cs="宋体"/>
                <w:bCs/>
                <w:sz w:val="24"/>
              </w:rPr>
            </w:pPr>
            <w:r>
              <w:rPr>
                <w:rFonts w:hint="eastAsia" w:ascii="宋体" w:hAnsi="宋体" w:cs="宋体"/>
                <w:bCs/>
                <w:sz w:val="24"/>
              </w:rPr>
              <w:t>境影</w:t>
            </w:r>
          </w:p>
          <w:p>
            <w:pPr>
              <w:adjustRightInd w:val="0"/>
              <w:snapToGrid w:val="0"/>
              <w:jc w:val="center"/>
              <w:rPr>
                <w:rFonts w:ascii="宋体" w:hAnsi="宋体" w:cs="宋体"/>
                <w:bCs/>
                <w:sz w:val="24"/>
              </w:rPr>
            </w:pPr>
            <w:r>
              <w:rPr>
                <w:rFonts w:hint="eastAsia" w:ascii="宋体" w:hAnsi="宋体" w:cs="宋体"/>
                <w:bCs/>
                <w:sz w:val="24"/>
              </w:rPr>
              <w:t>响和</w:t>
            </w:r>
          </w:p>
          <w:p>
            <w:pPr>
              <w:adjustRightInd w:val="0"/>
              <w:snapToGrid w:val="0"/>
              <w:jc w:val="center"/>
              <w:rPr>
                <w:rFonts w:ascii="宋体" w:hAnsi="宋体" w:cs="宋体"/>
                <w:bCs/>
                <w:sz w:val="24"/>
              </w:rPr>
            </w:pPr>
            <w:r>
              <w:rPr>
                <w:rFonts w:hint="eastAsia" w:ascii="宋体" w:hAnsi="宋体" w:cs="宋体"/>
                <w:bCs/>
                <w:sz w:val="24"/>
              </w:rPr>
              <w:t>保护</w:t>
            </w:r>
          </w:p>
          <w:p>
            <w:pPr>
              <w:adjustRightInd w:val="0"/>
              <w:snapToGrid w:val="0"/>
              <w:jc w:val="center"/>
              <w:rPr>
                <w:rFonts w:ascii="宋体" w:hAnsi="宋体" w:cs="宋体"/>
                <w:bCs/>
                <w:szCs w:val="21"/>
              </w:rPr>
            </w:pPr>
            <w:r>
              <w:rPr>
                <w:rFonts w:hint="eastAsia" w:ascii="宋体" w:hAnsi="宋体" w:cs="宋体"/>
                <w:bCs/>
                <w:sz w:val="24"/>
              </w:rPr>
              <w:t>措施</w:t>
            </w:r>
          </w:p>
        </w:tc>
        <w:tc>
          <w:tcPr>
            <w:tcW w:w="4812" w:type="pct"/>
            <w:vAlign w:val="top"/>
          </w:tcPr>
          <w:p>
            <w:pPr>
              <w:spacing w:line="360" w:lineRule="auto"/>
              <w:jc w:val="both"/>
              <w:rPr>
                <w:b/>
                <w:sz w:val="24"/>
              </w:rPr>
            </w:pPr>
            <w:r>
              <w:rPr>
                <w:b/>
                <w:sz w:val="24"/>
              </w:rPr>
              <w:t>1、废气</w:t>
            </w:r>
          </w:p>
          <w:p>
            <w:pPr>
              <w:spacing w:line="360" w:lineRule="auto"/>
              <w:ind w:firstLine="480" w:firstLineChars="200"/>
              <w:jc w:val="both"/>
              <w:rPr>
                <w:sz w:val="24"/>
                <w:lang w:val="zh-CN"/>
              </w:rPr>
            </w:pPr>
            <w:r>
              <w:rPr>
                <w:sz w:val="24"/>
                <w:lang w:val="zh-CN"/>
              </w:rPr>
              <w:t>（</w:t>
            </w:r>
            <w:r>
              <w:rPr>
                <w:sz w:val="24"/>
              </w:rPr>
              <w:t>1</w:t>
            </w:r>
            <w:r>
              <w:rPr>
                <w:sz w:val="24"/>
                <w:lang w:val="zh-CN"/>
              </w:rPr>
              <w:t>）源强核算</w:t>
            </w:r>
          </w:p>
          <w:p>
            <w:pPr>
              <w:pStyle w:val="48"/>
              <w:ind w:firstLine="480"/>
              <w:jc w:val="both"/>
              <w:rPr>
                <w:rFonts w:eastAsia="等线"/>
                <w:lang w:val="zh-CN"/>
              </w:rPr>
            </w:pPr>
            <w:r>
              <w:rPr>
                <w:lang w:val="zh-CN"/>
              </w:rPr>
              <w:t>拟建项目建成后全厂废气产排情况详见表</w:t>
            </w:r>
            <w:r>
              <w:rPr>
                <w:rFonts w:hint="eastAsia"/>
              </w:rPr>
              <w:t>4</w:t>
            </w:r>
            <w:r>
              <w:rPr>
                <w:lang w:val="zh-CN"/>
              </w:rPr>
              <w:t>-</w:t>
            </w:r>
            <w:r>
              <w:rPr>
                <w:rFonts w:hint="eastAsia"/>
              </w:rPr>
              <w:t>1</w:t>
            </w:r>
            <w:r>
              <w:rPr>
                <w:lang w:val="zh-CN"/>
              </w:rPr>
              <w:t>。</w:t>
            </w:r>
          </w:p>
          <w:p>
            <w:pPr>
              <w:pStyle w:val="48"/>
              <w:spacing w:line="240" w:lineRule="auto"/>
              <w:ind w:firstLine="0" w:firstLineChars="0"/>
              <w:jc w:val="center"/>
              <w:rPr>
                <w:rFonts w:eastAsia="宋体"/>
                <w:b/>
                <w:bCs/>
              </w:rPr>
            </w:pPr>
            <w:r>
              <w:rPr>
                <w:rFonts w:eastAsia="宋体"/>
                <w:b/>
                <w:bCs/>
              </w:rPr>
              <w:t>表</w:t>
            </w:r>
            <w:r>
              <w:rPr>
                <w:rFonts w:hint="eastAsia" w:eastAsia="宋体"/>
                <w:b/>
                <w:bCs/>
              </w:rPr>
              <w:t>4</w:t>
            </w:r>
            <w:r>
              <w:rPr>
                <w:rFonts w:eastAsia="宋体"/>
                <w:b/>
                <w:bCs/>
              </w:rPr>
              <w:t>-</w:t>
            </w:r>
            <w:r>
              <w:rPr>
                <w:rFonts w:hint="eastAsia" w:eastAsia="宋体"/>
                <w:b/>
                <w:bCs/>
              </w:rPr>
              <w:t>1</w:t>
            </w:r>
            <w:r>
              <w:rPr>
                <w:rFonts w:eastAsia="宋体"/>
                <w:b/>
                <w:bCs/>
              </w:rPr>
              <w:t xml:space="preserve">  全厂废气产排情况一览表</w:t>
            </w:r>
          </w:p>
          <w:tbl>
            <w:tblPr>
              <w:tblStyle w:val="21"/>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15"/>
              <w:gridCol w:w="521"/>
              <w:gridCol w:w="815"/>
              <w:gridCol w:w="912"/>
              <w:gridCol w:w="1041"/>
              <w:gridCol w:w="483"/>
              <w:gridCol w:w="739"/>
              <w:gridCol w:w="471"/>
              <w:gridCol w:w="518"/>
              <w:gridCol w:w="703"/>
              <w:gridCol w:w="627"/>
              <w:gridCol w:w="810"/>
              <w:gridCol w:w="723"/>
              <w:gridCol w:w="701"/>
              <w:gridCol w:w="659"/>
              <w:gridCol w:w="624"/>
              <w:gridCol w:w="677"/>
              <w:gridCol w:w="318"/>
              <w:gridCol w:w="382"/>
              <w:gridCol w:w="570"/>
              <w:gridCol w:w="632"/>
              <w:gridCol w:w="791"/>
              <w:gridCol w:w="6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07" w:type="pct"/>
                  <w:vMerge w:val="restart"/>
                  <w:vAlign w:val="center"/>
                </w:tcPr>
                <w:p>
                  <w:pPr>
                    <w:spacing w:line="240" w:lineRule="atLeast"/>
                    <w:jc w:val="center"/>
                    <w:rPr>
                      <w:b/>
                      <w:bCs/>
                      <w:sz w:val="18"/>
                      <w:szCs w:val="18"/>
                    </w:rPr>
                  </w:pPr>
                  <w:r>
                    <w:rPr>
                      <w:b/>
                      <w:bCs/>
                      <w:sz w:val="18"/>
                      <w:szCs w:val="18"/>
                    </w:rPr>
                    <w:t>产排污环节</w:t>
                  </w:r>
                </w:p>
              </w:tc>
              <w:tc>
                <w:tcPr>
                  <w:tcW w:w="177" w:type="pct"/>
                  <w:vMerge w:val="restart"/>
                  <w:vAlign w:val="center"/>
                </w:tcPr>
                <w:p>
                  <w:pPr>
                    <w:spacing w:line="240" w:lineRule="atLeast"/>
                    <w:jc w:val="center"/>
                    <w:rPr>
                      <w:b/>
                      <w:bCs/>
                      <w:sz w:val="18"/>
                      <w:szCs w:val="18"/>
                    </w:rPr>
                  </w:pPr>
                  <w:r>
                    <w:rPr>
                      <w:b/>
                      <w:bCs/>
                      <w:sz w:val="18"/>
                      <w:szCs w:val="18"/>
                    </w:rPr>
                    <w:t>污染物种类</w:t>
                  </w:r>
                </w:p>
              </w:tc>
              <w:tc>
                <w:tcPr>
                  <w:tcW w:w="941" w:type="pct"/>
                  <w:gridSpan w:val="3"/>
                  <w:vAlign w:val="center"/>
                </w:tcPr>
                <w:p>
                  <w:pPr>
                    <w:spacing w:line="240" w:lineRule="atLeast"/>
                    <w:jc w:val="center"/>
                    <w:rPr>
                      <w:b/>
                      <w:bCs/>
                      <w:sz w:val="18"/>
                      <w:szCs w:val="18"/>
                    </w:rPr>
                  </w:pPr>
                  <w:r>
                    <w:rPr>
                      <w:b/>
                      <w:bCs/>
                      <w:sz w:val="18"/>
                      <w:szCs w:val="18"/>
                    </w:rPr>
                    <w:t>产生情况</w:t>
                  </w:r>
                </w:p>
              </w:tc>
              <w:tc>
                <w:tcPr>
                  <w:tcW w:w="164" w:type="pct"/>
                  <w:vMerge w:val="restart"/>
                  <w:vAlign w:val="center"/>
                </w:tcPr>
                <w:p>
                  <w:pPr>
                    <w:spacing w:line="240" w:lineRule="atLeast"/>
                    <w:jc w:val="center"/>
                    <w:rPr>
                      <w:b/>
                      <w:bCs/>
                      <w:sz w:val="18"/>
                      <w:szCs w:val="18"/>
                    </w:rPr>
                  </w:pPr>
                  <w:r>
                    <w:rPr>
                      <w:b/>
                      <w:bCs/>
                      <w:sz w:val="18"/>
                      <w:szCs w:val="18"/>
                    </w:rPr>
                    <w:t>排放形式</w:t>
                  </w:r>
                </w:p>
              </w:tc>
              <w:tc>
                <w:tcPr>
                  <w:tcW w:w="1040" w:type="pct"/>
                  <w:gridSpan w:val="5"/>
                  <w:vAlign w:val="center"/>
                </w:tcPr>
                <w:p>
                  <w:pPr>
                    <w:spacing w:line="240" w:lineRule="atLeast"/>
                    <w:jc w:val="center"/>
                    <w:rPr>
                      <w:b/>
                      <w:bCs/>
                      <w:sz w:val="18"/>
                      <w:szCs w:val="18"/>
                    </w:rPr>
                  </w:pPr>
                  <w:r>
                    <w:rPr>
                      <w:b/>
                      <w:bCs/>
                      <w:sz w:val="18"/>
                      <w:szCs w:val="18"/>
                    </w:rPr>
                    <w:t>治理设施</w:t>
                  </w:r>
                </w:p>
              </w:tc>
              <w:tc>
                <w:tcPr>
                  <w:tcW w:w="760" w:type="pct"/>
                  <w:gridSpan w:val="3"/>
                  <w:vAlign w:val="center"/>
                </w:tcPr>
                <w:p>
                  <w:pPr>
                    <w:spacing w:line="240" w:lineRule="atLeast"/>
                    <w:jc w:val="center"/>
                    <w:rPr>
                      <w:b/>
                      <w:bCs/>
                      <w:sz w:val="18"/>
                      <w:szCs w:val="18"/>
                    </w:rPr>
                  </w:pPr>
                  <w:r>
                    <w:rPr>
                      <w:b/>
                      <w:bCs/>
                      <w:sz w:val="18"/>
                      <w:szCs w:val="18"/>
                    </w:rPr>
                    <w:t>排放情况</w:t>
                  </w:r>
                </w:p>
              </w:tc>
              <w:tc>
                <w:tcPr>
                  <w:tcW w:w="1313" w:type="pct"/>
                  <w:gridSpan w:val="7"/>
                  <w:vAlign w:val="center"/>
                </w:tcPr>
                <w:p>
                  <w:pPr>
                    <w:spacing w:line="240" w:lineRule="atLeast"/>
                    <w:jc w:val="center"/>
                    <w:rPr>
                      <w:b/>
                      <w:bCs/>
                      <w:sz w:val="18"/>
                      <w:szCs w:val="18"/>
                    </w:rPr>
                  </w:pPr>
                  <w:r>
                    <w:rPr>
                      <w:b/>
                      <w:bCs/>
                      <w:sz w:val="18"/>
                      <w:szCs w:val="18"/>
                    </w:rPr>
                    <w:t>排放口基本情况</w:t>
                  </w:r>
                </w:p>
              </w:tc>
              <w:tc>
                <w:tcPr>
                  <w:tcW w:w="495" w:type="pct"/>
                  <w:gridSpan w:val="2"/>
                  <w:vAlign w:val="center"/>
                </w:tcPr>
                <w:p>
                  <w:pPr>
                    <w:spacing w:line="240" w:lineRule="atLeast"/>
                    <w:jc w:val="center"/>
                    <w:rPr>
                      <w:b/>
                      <w:bCs/>
                      <w:sz w:val="18"/>
                      <w:szCs w:val="18"/>
                    </w:rPr>
                  </w:pPr>
                  <w:r>
                    <w:rPr>
                      <w:b/>
                      <w:bCs/>
                      <w:sz w:val="18"/>
                      <w:szCs w:val="18"/>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2" w:hRule="atLeast"/>
                <w:jc w:val="center"/>
              </w:trPr>
              <w:tc>
                <w:tcPr>
                  <w:tcW w:w="107" w:type="pct"/>
                  <w:vMerge w:val="continue"/>
                  <w:vAlign w:val="center"/>
                </w:tcPr>
                <w:p>
                  <w:pPr>
                    <w:spacing w:line="240" w:lineRule="atLeast"/>
                    <w:jc w:val="center"/>
                    <w:rPr>
                      <w:b/>
                      <w:bCs/>
                      <w:sz w:val="18"/>
                      <w:szCs w:val="18"/>
                    </w:rPr>
                  </w:pPr>
                </w:p>
              </w:tc>
              <w:tc>
                <w:tcPr>
                  <w:tcW w:w="177" w:type="pct"/>
                  <w:vMerge w:val="continue"/>
                  <w:vAlign w:val="center"/>
                </w:tcPr>
                <w:p>
                  <w:pPr>
                    <w:spacing w:line="240" w:lineRule="atLeast"/>
                    <w:jc w:val="center"/>
                    <w:rPr>
                      <w:b/>
                      <w:bCs/>
                      <w:sz w:val="18"/>
                      <w:szCs w:val="18"/>
                    </w:rPr>
                  </w:pPr>
                </w:p>
              </w:tc>
              <w:tc>
                <w:tcPr>
                  <w:tcW w:w="277" w:type="pct"/>
                  <w:vMerge w:val="restart"/>
                  <w:vAlign w:val="center"/>
                </w:tcPr>
                <w:p>
                  <w:pPr>
                    <w:spacing w:line="240" w:lineRule="atLeast"/>
                    <w:jc w:val="center"/>
                    <w:rPr>
                      <w:b/>
                      <w:bCs/>
                      <w:sz w:val="18"/>
                      <w:szCs w:val="18"/>
                    </w:rPr>
                  </w:pPr>
                  <w:r>
                    <w:rPr>
                      <w:b/>
                      <w:bCs/>
                      <w:sz w:val="18"/>
                      <w:szCs w:val="18"/>
                    </w:rPr>
                    <w:t>产生量</w:t>
                  </w:r>
                </w:p>
                <w:p>
                  <w:pPr>
                    <w:spacing w:line="240" w:lineRule="atLeast"/>
                    <w:jc w:val="center"/>
                    <w:rPr>
                      <w:b/>
                      <w:bCs/>
                      <w:sz w:val="18"/>
                      <w:szCs w:val="18"/>
                    </w:rPr>
                  </w:pPr>
                  <w:r>
                    <w:rPr>
                      <w:b/>
                      <w:bCs/>
                      <w:sz w:val="18"/>
                      <w:szCs w:val="18"/>
                    </w:rPr>
                    <w:t>（t/a）</w:t>
                  </w:r>
                </w:p>
              </w:tc>
              <w:tc>
                <w:tcPr>
                  <w:tcW w:w="310" w:type="pct"/>
                  <w:vMerge w:val="restart"/>
                  <w:vAlign w:val="center"/>
                </w:tcPr>
                <w:p>
                  <w:pPr>
                    <w:spacing w:line="240" w:lineRule="atLeast"/>
                    <w:jc w:val="center"/>
                    <w:rPr>
                      <w:b/>
                      <w:bCs/>
                      <w:sz w:val="18"/>
                      <w:szCs w:val="18"/>
                    </w:rPr>
                  </w:pPr>
                  <w:r>
                    <w:rPr>
                      <w:b/>
                      <w:bCs/>
                      <w:sz w:val="18"/>
                      <w:szCs w:val="18"/>
                    </w:rPr>
                    <w:t>产生</w:t>
                  </w:r>
                </w:p>
                <w:p>
                  <w:pPr>
                    <w:spacing w:line="240" w:lineRule="atLeast"/>
                    <w:jc w:val="center"/>
                    <w:rPr>
                      <w:b/>
                      <w:bCs/>
                      <w:sz w:val="18"/>
                      <w:szCs w:val="18"/>
                    </w:rPr>
                  </w:pPr>
                  <w:r>
                    <w:rPr>
                      <w:b/>
                      <w:bCs/>
                      <w:sz w:val="18"/>
                      <w:szCs w:val="18"/>
                    </w:rPr>
                    <w:t>速率（kg/h）</w:t>
                  </w:r>
                </w:p>
              </w:tc>
              <w:tc>
                <w:tcPr>
                  <w:tcW w:w="354" w:type="pct"/>
                  <w:vMerge w:val="restart"/>
                  <w:vAlign w:val="center"/>
                </w:tcPr>
                <w:p>
                  <w:pPr>
                    <w:spacing w:line="240" w:lineRule="atLeast"/>
                    <w:jc w:val="center"/>
                    <w:rPr>
                      <w:b/>
                      <w:bCs/>
                      <w:sz w:val="18"/>
                      <w:szCs w:val="18"/>
                    </w:rPr>
                  </w:pPr>
                  <w:r>
                    <w:rPr>
                      <w:b/>
                      <w:bCs/>
                      <w:sz w:val="18"/>
                      <w:szCs w:val="18"/>
                    </w:rPr>
                    <w:t>产生最大浓度（mg/m</w:t>
                  </w:r>
                  <w:r>
                    <w:rPr>
                      <w:b/>
                      <w:bCs/>
                      <w:sz w:val="18"/>
                      <w:szCs w:val="18"/>
                      <w:vertAlign w:val="superscript"/>
                    </w:rPr>
                    <w:t>3</w:t>
                  </w:r>
                  <w:r>
                    <w:rPr>
                      <w:b/>
                      <w:bCs/>
                      <w:sz w:val="18"/>
                      <w:szCs w:val="18"/>
                    </w:rPr>
                    <w:t>）</w:t>
                  </w:r>
                </w:p>
              </w:tc>
              <w:tc>
                <w:tcPr>
                  <w:tcW w:w="164" w:type="pct"/>
                  <w:vMerge w:val="continue"/>
                  <w:vAlign w:val="center"/>
                </w:tcPr>
                <w:p>
                  <w:pPr>
                    <w:spacing w:line="240" w:lineRule="atLeast"/>
                    <w:jc w:val="center"/>
                    <w:rPr>
                      <w:b/>
                      <w:bCs/>
                      <w:sz w:val="18"/>
                      <w:szCs w:val="18"/>
                    </w:rPr>
                  </w:pPr>
                </w:p>
              </w:tc>
              <w:tc>
                <w:tcPr>
                  <w:tcW w:w="251" w:type="pct"/>
                  <w:vMerge w:val="restart"/>
                  <w:vAlign w:val="center"/>
                </w:tcPr>
                <w:p>
                  <w:pPr>
                    <w:spacing w:line="240" w:lineRule="atLeast"/>
                    <w:jc w:val="center"/>
                    <w:rPr>
                      <w:b/>
                      <w:bCs/>
                      <w:sz w:val="18"/>
                      <w:szCs w:val="18"/>
                    </w:rPr>
                  </w:pPr>
                  <w:r>
                    <w:rPr>
                      <w:b/>
                      <w:bCs/>
                      <w:sz w:val="18"/>
                      <w:szCs w:val="18"/>
                    </w:rPr>
                    <w:t>名称</w:t>
                  </w:r>
                </w:p>
              </w:tc>
              <w:tc>
                <w:tcPr>
                  <w:tcW w:w="160" w:type="pct"/>
                  <w:vMerge w:val="restart"/>
                  <w:vAlign w:val="center"/>
                </w:tcPr>
                <w:p>
                  <w:pPr>
                    <w:spacing w:line="240" w:lineRule="atLeast"/>
                    <w:jc w:val="center"/>
                    <w:rPr>
                      <w:b/>
                      <w:bCs/>
                      <w:sz w:val="18"/>
                      <w:szCs w:val="18"/>
                    </w:rPr>
                  </w:pPr>
                  <w:r>
                    <w:rPr>
                      <w:b/>
                      <w:bCs/>
                      <w:sz w:val="18"/>
                      <w:szCs w:val="18"/>
                    </w:rPr>
                    <w:t>处理能力</w:t>
                  </w:r>
                </w:p>
              </w:tc>
              <w:tc>
                <w:tcPr>
                  <w:tcW w:w="176" w:type="pct"/>
                  <w:vMerge w:val="restart"/>
                  <w:vAlign w:val="center"/>
                </w:tcPr>
                <w:p>
                  <w:pPr>
                    <w:spacing w:line="240" w:lineRule="atLeast"/>
                    <w:jc w:val="center"/>
                    <w:rPr>
                      <w:b/>
                      <w:bCs/>
                      <w:sz w:val="18"/>
                      <w:szCs w:val="18"/>
                    </w:rPr>
                  </w:pPr>
                  <w:r>
                    <w:rPr>
                      <w:b/>
                      <w:bCs/>
                      <w:sz w:val="18"/>
                      <w:szCs w:val="18"/>
                    </w:rPr>
                    <w:t>收集效率</w:t>
                  </w:r>
                </w:p>
              </w:tc>
              <w:tc>
                <w:tcPr>
                  <w:tcW w:w="239" w:type="pct"/>
                  <w:vMerge w:val="restart"/>
                  <w:vAlign w:val="center"/>
                </w:tcPr>
                <w:p>
                  <w:pPr>
                    <w:spacing w:line="240" w:lineRule="atLeast"/>
                    <w:jc w:val="center"/>
                    <w:rPr>
                      <w:b/>
                      <w:bCs/>
                      <w:sz w:val="18"/>
                      <w:szCs w:val="18"/>
                    </w:rPr>
                  </w:pPr>
                  <w:r>
                    <w:rPr>
                      <w:b/>
                      <w:bCs/>
                      <w:sz w:val="18"/>
                      <w:szCs w:val="18"/>
                    </w:rPr>
                    <w:t>去除率</w:t>
                  </w:r>
                </w:p>
              </w:tc>
              <w:tc>
                <w:tcPr>
                  <w:tcW w:w="213" w:type="pct"/>
                  <w:vMerge w:val="restart"/>
                  <w:vAlign w:val="center"/>
                </w:tcPr>
                <w:p>
                  <w:pPr>
                    <w:spacing w:line="240" w:lineRule="atLeast"/>
                    <w:jc w:val="center"/>
                    <w:rPr>
                      <w:b/>
                      <w:bCs/>
                      <w:sz w:val="18"/>
                      <w:szCs w:val="18"/>
                    </w:rPr>
                  </w:pPr>
                  <w:r>
                    <w:rPr>
                      <w:b/>
                      <w:bCs/>
                      <w:sz w:val="18"/>
                      <w:szCs w:val="18"/>
                    </w:rPr>
                    <w:t>是否</w:t>
                  </w:r>
                </w:p>
                <w:p>
                  <w:pPr>
                    <w:spacing w:line="240" w:lineRule="atLeast"/>
                    <w:jc w:val="center"/>
                    <w:rPr>
                      <w:b/>
                      <w:bCs/>
                      <w:sz w:val="18"/>
                      <w:szCs w:val="18"/>
                    </w:rPr>
                  </w:pPr>
                  <w:r>
                    <w:rPr>
                      <w:b/>
                      <w:bCs/>
                      <w:sz w:val="18"/>
                      <w:szCs w:val="18"/>
                    </w:rPr>
                    <w:t>为可行技术</w:t>
                  </w:r>
                </w:p>
              </w:tc>
              <w:tc>
                <w:tcPr>
                  <w:tcW w:w="275" w:type="pct"/>
                  <w:vMerge w:val="restart"/>
                  <w:vAlign w:val="center"/>
                </w:tcPr>
                <w:p>
                  <w:pPr>
                    <w:spacing w:line="240" w:lineRule="atLeast"/>
                    <w:jc w:val="center"/>
                    <w:rPr>
                      <w:b/>
                      <w:bCs/>
                      <w:sz w:val="18"/>
                      <w:szCs w:val="18"/>
                    </w:rPr>
                  </w:pPr>
                  <w:r>
                    <w:rPr>
                      <w:b/>
                      <w:bCs/>
                      <w:sz w:val="18"/>
                      <w:szCs w:val="18"/>
                    </w:rPr>
                    <w:t>排放量</w:t>
                  </w:r>
                </w:p>
                <w:p>
                  <w:pPr>
                    <w:spacing w:line="240" w:lineRule="atLeast"/>
                    <w:jc w:val="center"/>
                    <w:rPr>
                      <w:b/>
                      <w:bCs/>
                      <w:sz w:val="18"/>
                      <w:szCs w:val="18"/>
                    </w:rPr>
                  </w:pPr>
                  <w:r>
                    <w:rPr>
                      <w:b/>
                      <w:bCs/>
                      <w:sz w:val="18"/>
                      <w:szCs w:val="18"/>
                    </w:rPr>
                    <w:t>（t/a）</w:t>
                  </w:r>
                </w:p>
              </w:tc>
              <w:tc>
                <w:tcPr>
                  <w:tcW w:w="245" w:type="pct"/>
                  <w:vMerge w:val="restart"/>
                  <w:vAlign w:val="center"/>
                </w:tcPr>
                <w:p>
                  <w:pPr>
                    <w:spacing w:line="240" w:lineRule="atLeast"/>
                    <w:jc w:val="center"/>
                    <w:rPr>
                      <w:b/>
                      <w:bCs/>
                      <w:sz w:val="18"/>
                      <w:szCs w:val="18"/>
                    </w:rPr>
                  </w:pPr>
                  <w:r>
                    <w:rPr>
                      <w:b/>
                      <w:bCs/>
                      <w:sz w:val="18"/>
                      <w:szCs w:val="18"/>
                    </w:rPr>
                    <w:t>排放</w:t>
                  </w:r>
                </w:p>
                <w:p>
                  <w:pPr>
                    <w:spacing w:line="240" w:lineRule="atLeast"/>
                    <w:jc w:val="center"/>
                    <w:rPr>
                      <w:b/>
                      <w:bCs/>
                      <w:sz w:val="18"/>
                      <w:szCs w:val="18"/>
                    </w:rPr>
                  </w:pPr>
                  <w:r>
                    <w:rPr>
                      <w:b/>
                      <w:bCs/>
                      <w:sz w:val="18"/>
                      <w:szCs w:val="18"/>
                    </w:rPr>
                    <w:t>速率</w:t>
                  </w:r>
                </w:p>
                <w:p>
                  <w:pPr>
                    <w:spacing w:line="240" w:lineRule="atLeast"/>
                    <w:jc w:val="center"/>
                    <w:rPr>
                      <w:b/>
                      <w:bCs/>
                      <w:sz w:val="18"/>
                      <w:szCs w:val="18"/>
                    </w:rPr>
                  </w:pPr>
                  <w:r>
                    <w:rPr>
                      <w:b/>
                      <w:bCs/>
                      <w:sz w:val="18"/>
                      <w:szCs w:val="18"/>
                    </w:rPr>
                    <w:t>（kg/h）</w:t>
                  </w:r>
                </w:p>
              </w:tc>
              <w:tc>
                <w:tcPr>
                  <w:tcW w:w="238" w:type="pct"/>
                  <w:vMerge w:val="restart"/>
                  <w:vAlign w:val="center"/>
                </w:tcPr>
                <w:p>
                  <w:pPr>
                    <w:spacing w:line="240" w:lineRule="atLeast"/>
                    <w:jc w:val="center"/>
                    <w:rPr>
                      <w:b/>
                      <w:bCs/>
                      <w:sz w:val="18"/>
                      <w:szCs w:val="18"/>
                    </w:rPr>
                  </w:pPr>
                  <w:r>
                    <w:rPr>
                      <w:b/>
                      <w:bCs/>
                      <w:sz w:val="18"/>
                      <w:szCs w:val="18"/>
                    </w:rPr>
                    <w:t>最大排放浓度(mg/m</w:t>
                  </w:r>
                  <w:r>
                    <w:rPr>
                      <w:b/>
                      <w:bCs/>
                      <w:sz w:val="18"/>
                      <w:szCs w:val="18"/>
                      <w:vertAlign w:val="superscript"/>
                    </w:rPr>
                    <w:t>3</w:t>
                  </w:r>
                  <w:r>
                    <w:rPr>
                      <w:b/>
                      <w:bCs/>
                      <w:sz w:val="18"/>
                      <w:szCs w:val="18"/>
                    </w:rPr>
                    <w:t>)</w:t>
                  </w:r>
                </w:p>
              </w:tc>
              <w:tc>
                <w:tcPr>
                  <w:tcW w:w="224" w:type="pct"/>
                  <w:vMerge w:val="restart"/>
                  <w:vAlign w:val="center"/>
                </w:tcPr>
                <w:p>
                  <w:pPr>
                    <w:spacing w:line="240" w:lineRule="atLeast"/>
                    <w:jc w:val="center"/>
                    <w:rPr>
                      <w:b/>
                      <w:bCs/>
                      <w:sz w:val="18"/>
                      <w:szCs w:val="18"/>
                    </w:rPr>
                  </w:pPr>
                  <w:r>
                    <w:rPr>
                      <w:b/>
                      <w:bCs/>
                      <w:sz w:val="18"/>
                      <w:szCs w:val="18"/>
                    </w:rPr>
                    <w:t>高度</w:t>
                  </w:r>
                </w:p>
                <w:p>
                  <w:pPr>
                    <w:spacing w:line="240" w:lineRule="atLeast"/>
                    <w:jc w:val="center"/>
                    <w:rPr>
                      <w:b/>
                      <w:bCs/>
                      <w:sz w:val="18"/>
                      <w:szCs w:val="18"/>
                    </w:rPr>
                  </w:pPr>
                  <w:r>
                    <w:rPr>
                      <w:b/>
                      <w:bCs/>
                      <w:sz w:val="18"/>
                      <w:szCs w:val="18"/>
                    </w:rPr>
                    <w:t>（m）</w:t>
                  </w:r>
                </w:p>
              </w:tc>
              <w:tc>
                <w:tcPr>
                  <w:tcW w:w="212" w:type="pct"/>
                  <w:vMerge w:val="restart"/>
                  <w:vAlign w:val="center"/>
                </w:tcPr>
                <w:p>
                  <w:pPr>
                    <w:spacing w:line="240" w:lineRule="atLeast"/>
                    <w:jc w:val="center"/>
                    <w:rPr>
                      <w:b/>
                      <w:bCs/>
                      <w:sz w:val="18"/>
                      <w:szCs w:val="18"/>
                    </w:rPr>
                  </w:pPr>
                  <w:r>
                    <w:rPr>
                      <w:b/>
                      <w:bCs/>
                      <w:sz w:val="18"/>
                      <w:szCs w:val="18"/>
                    </w:rPr>
                    <w:t>内径</w:t>
                  </w:r>
                </w:p>
                <w:p>
                  <w:pPr>
                    <w:spacing w:line="240" w:lineRule="atLeast"/>
                    <w:jc w:val="center"/>
                    <w:rPr>
                      <w:b/>
                      <w:bCs/>
                      <w:sz w:val="18"/>
                      <w:szCs w:val="18"/>
                    </w:rPr>
                  </w:pPr>
                  <w:r>
                    <w:rPr>
                      <w:b/>
                      <w:bCs/>
                      <w:sz w:val="18"/>
                      <w:szCs w:val="18"/>
                    </w:rPr>
                    <w:t>（m）</w:t>
                  </w:r>
                </w:p>
              </w:tc>
              <w:tc>
                <w:tcPr>
                  <w:tcW w:w="230" w:type="pct"/>
                  <w:vMerge w:val="restart"/>
                  <w:vAlign w:val="center"/>
                </w:tcPr>
                <w:p>
                  <w:pPr>
                    <w:spacing w:line="240" w:lineRule="atLeast"/>
                    <w:jc w:val="center"/>
                    <w:rPr>
                      <w:b/>
                      <w:bCs/>
                      <w:sz w:val="18"/>
                      <w:szCs w:val="18"/>
                    </w:rPr>
                  </w:pPr>
                  <w:r>
                    <w:rPr>
                      <w:b/>
                      <w:bCs/>
                      <w:sz w:val="18"/>
                      <w:szCs w:val="18"/>
                    </w:rPr>
                    <w:t>温度</w:t>
                  </w:r>
                </w:p>
                <w:p>
                  <w:pPr>
                    <w:spacing w:line="240" w:lineRule="atLeast"/>
                    <w:jc w:val="center"/>
                    <w:rPr>
                      <w:b/>
                      <w:bCs/>
                      <w:sz w:val="18"/>
                      <w:szCs w:val="18"/>
                    </w:rPr>
                  </w:pPr>
                  <w:r>
                    <w:rPr>
                      <w:b/>
                      <w:bCs/>
                      <w:sz w:val="18"/>
                      <w:szCs w:val="18"/>
                    </w:rPr>
                    <w:t>（℃）</w:t>
                  </w:r>
                </w:p>
              </w:tc>
              <w:tc>
                <w:tcPr>
                  <w:tcW w:w="108" w:type="pct"/>
                  <w:vMerge w:val="restart"/>
                  <w:vAlign w:val="center"/>
                </w:tcPr>
                <w:p>
                  <w:pPr>
                    <w:spacing w:line="240" w:lineRule="atLeast"/>
                    <w:jc w:val="center"/>
                    <w:rPr>
                      <w:b/>
                      <w:bCs/>
                      <w:sz w:val="18"/>
                      <w:szCs w:val="18"/>
                    </w:rPr>
                  </w:pPr>
                  <w:r>
                    <w:rPr>
                      <w:b/>
                      <w:bCs/>
                      <w:sz w:val="18"/>
                      <w:szCs w:val="18"/>
                    </w:rPr>
                    <w:t>编号及名称</w:t>
                  </w:r>
                </w:p>
              </w:tc>
              <w:tc>
                <w:tcPr>
                  <w:tcW w:w="129" w:type="pct"/>
                  <w:vMerge w:val="restart"/>
                  <w:vAlign w:val="center"/>
                </w:tcPr>
                <w:p>
                  <w:pPr>
                    <w:spacing w:line="240" w:lineRule="atLeast"/>
                    <w:jc w:val="center"/>
                    <w:rPr>
                      <w:b/>
                      <w:bCs/>
                      <w:sz w:val="18"/>
                      <w:szCs w:val="18"/>
                    </w:rPr>
                  </w:pPr>
                  <w:r>
                    <w:rPr>
                      <w:b/>
                      <w:bCs/>
                      <w:sz w:val="18"/>
                      <w:szCs w:val="18"/>
                    </w:rPr>
                    <w:t>类型</w:t>
                  </w:r>
                </w:p>
              </w:tc>
              <w:tc>
                <w:tcPr>
                  <w:tcW w:w="408" w:type="pct"/>
                  <w:gridSpan w:val="2"/>
                  <w:vAlign w:val="center"/>
                </w:tcPr>
                <w:p>
                  <w:pPr>
                    <w:spacing w:line="240" w:lineRule="atLeast"/>
                    <w:jc w:val="center"/>
                    <w:rPr>
                      <w:b/>
                      <w:bCs/>
                      <w:sz w:val="18"/>
                      <w:szCs w:val="18"/>
                    </w:rPr>
                  </w:pPr>
                  <w:r>
                    <w:rPr>
                      <w:b/>
                      <w:bCs/>
                      <w:sz w:val="18"/>
                      <w:szCs w:val="18"/>
                    </w:rPr>
                    <w:t>地理坐标</w:t>
                  </w:r>
                </w:p>
              </w:tc>
              <w:tc>
                <w:tcPr>
                  <w:tcW w:w="269" w:type="pct"/>
                  <w:vMerge w:val="restart"/>
                  <w:vAlign w:val="center"/>
                </w:tcPr>
                <w:p>
                  <w:pPr>
                    <w:autoSpaceDE w:val="0"/>
                    <w:autoSpaceDN w:val="0"/>
                    <w:adjustRightInd w:val="0"/>
                    <w:jc w:val="center"/>
                    <w:rPr>
                      <w:b/>
                      <w:bCs/>
                      <w:sz w:val="18"/>
                      <w:szCs w:val="18"/>
                    </w:rPr>
                  </w:pPr>
                  <w:r>
                    <w:rPr>
                      <w:b/>
                      <w:bCs/>
                      <w:sz w:val="18"/>
                      <w:szCs w:val="18"/>
                    </w:rPr>
                    <w:t>浓度</w:t>
                  </w:r>
                </w:p>
                <w:p>
                  <w:pPr>
                    <w:autoSpaceDE w:val="0"/>
                    <w:autoSpaceDN w:val="0"/>
                    <w:adjustRightInd w:val="0"/>
                    <w:jc w:val="center"/>
                    <w:rPr>
                      <w:b/>
                      <w:bCs/>
                      <w:sz w:val="18"/>
                      <w:szCs w:val="18"/>
                    </w:rPr>
                  </w:pPr>
                  <w:r>
                    <w:rPr>
                      <w:b/>
                      <w:bCs/>
                      <w:sz w:val="18"/>
                      <w:szCs w:val="18"/>
                    </w:rPr>
                    <w:t>（mg/m</w:t>
                  </w:r>
                  <w:r>
                    <w:rPr>
                      <w:b/>
                      <w:bCs/>
                      <w:sz w:val="18"/>
                      <w:szCs w:val="18"/>
                      <w:vertAlign w:val="superscript"/>
                    </w:rPr>
                    <w:t>3</w:t>
                  </w:r>
                  <w:r>
                    <w:rPr>
                      <w:b/>
                      <w:bCs/>
                      <w:sz w:val="18"/>
                      <w:szCs w:val="18"/>
                    </w:rPr>
                    <w:t>）</w:t>
                  </w:r>
                </w:p>
              </w:tc>
              <w:tc>
                <w:tcPr>
                  <w:tcW w:w="225" w:type="pct"/>
                  <w:vMerge w:val="restart"/>
                  <w:vAlign w:val="center"/>
                </w:tcPr>
                <w:p>
                  <w:pPr>
                    <w:autoSpaceDE w:val="0"/>
                    <w:autoSpaceDN w:val="0"/>
                    <w:adjustRightInd w:val="0"/>
                    <w:jc w:val="center"/>
                    <w:rPr>
                      <w:b/>
                      <w:bCs/>
                      <w:sz w:val="18"/>
                      <w:szCs w:val="18"/>
                    </w:rPr>
                  </w:pPr>
                  <w:r>
                    <w:rPr>
                      <w:b/>
                      <w:bCs/>
                      <w:sz w:val="18"/>
                      <w:szCs w:val="18"/>
                    </w:rPr>
                    <w:t>速率</w:t>
                  </w:r>
                </w:p>
                <w:p>
                  <w:pPr>
                    <w:autoSpaceDE w:val="0"/>
                    <w:autoSpaceDN w:val="0"/>
                    <w:adjustRightInd w:val="0"/>
                    <w:jc w:val="center"/>
                    <w:rPr>
                      <w:b/>
                      <w:bCs/>
                      <w:sz w:val="18"/>
                      <w:szCs w:val="18"/>
                    </w:rPr>
                  </w:pPr>
                  <w:r>
                    <w:rPr>
                      <w:b/>
                      <w:bCs/>
                      <w:sz w:val="18"/>
                      <w:szCs w:val="18"/>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20" w:hRule="atLeast"/>
                <w:jc w:val="center"/>
              </w:trPr>
              <w:tc>
                <w:tcPr>
                  <w:tcW w:w="107" w:type="pct"/>
                  <w:vMerge w:val="continue"/>
                  <w:vAlign w:val="center"/>
                </w:tcPr>
                <w:p>
                  <w:pPr>
                    <w:spacing w:line="240" w:lineRule="atLeast"/>
                    <w:jc w:val="center"/>
                    <w:rPr>
                      <w:sz w:val="18"/>
                      <w:szCs w:val="18"/>
                    </w:rPr>
                  </w:pPr>
                </w:p>
              </w:tc>
              <w:tc>
                <w:tcPr>
                  <w:tcW w:w="177" w:type="pct"/>
                  <w:vMerge w:val="continue"/>
                  <w:vAlign w:val="center"/>
                </w:tcPr>
                <w:p>
                  <w:pPr>
                    <w:spacing w:line="240" w:lineRule="atLeast"/>
                    <w:jc w:val="center"/>
                    <w:rPr>
                      <w:sz w:val="18"/>
                      <w:szCs w:val="18"/>
                    </w:rPr>
                  </w:pPr>
                </w:p>
              </w:tc>
              <w:tc>
                <w:tcPr>
                  <w:tcW w:w="277" w:type="pct"/>
                  <w:vMerge w:val="continue"/>
                  <w:vAlign w:val="center"/>
                </w:tcPr>
                <w:p>
                  <w:pPr>
                    <w:spacing w:line="240" w:lineRule="atLeast"/>
                    <w:jc w:val="center"/>
                    <w:rPr>
                      <w:sz w:val="18"/>
                      <w:szCs w:val="18"/>
                    </w:rPr>
                  </w:pPr>
                </w:p>
              </w:tc>
              <w:tc>
                <w:tcPr>
                  <w:tcW w:w="310" w:type="pct"/>
                  <w:vMerge w:val="continue"/>
                  <w:vAlign w:val="center"/>
                </w:tcPr>
                <w:p>
                  <w:pPr>
                    <w:spacing w:line="240" w:lineRule="atLeast"/>
                    <w:jc w:val="center"/>
                    <w:rPr>
                      <w:sz w:val="18"/>
                      <w:szCs w:val="18"/>
                    </w:rPr>
                  </w:pPr>
                </w:p>
              </w:tc>
              <w:tc>
                <w:tcPr>
                  <w:tcW w:w="354" w:type="pct"/>
                  <w:vMerge w:val="continue"/>
                  <w:vAlign w:val="center"/>
                </w:tcPr>
                <w:p>
                  <w:pPr>
                    <w:spacing w:line="240" w:lineRule="atLeast"/>
                    <w:jc w:val="center"/>
                    <w:rPr>
                      <w:sz w:val="18"/>
                      <w:szCs w:val="18"/>
                    </w:rPr>
                  </w:pPr>
                </w:p>
              </w:tc>
              <w:tc>
                <w:tcPr>
                  <w:tcW w:w="164" w:type="pct"/>
                  <w:vMerge w:val="continue"/>
                  <w:vAlign w:val="center"/>
                </w:tcPr>
                <w:p>
                  <w:pPr>
                    <w:spacing w:line="240" w:lineRule="atLeast"/>
                    <w:jc w:val="center"/>
                    <w:rPr>
                      <w:sz w:val="18"/>
                      <w:szCs w:val="18"/>
                    </w:rPr>
                  </w:pPr>
                </w:p>
              </w:tc>
              <w:tc>
                <w:tcPr>
                  <w:tcW w:w="251" w:type="pct"/>
                  <w:vMerge w:val="continue"/>
                  <w:vAlign w:val="center"/>
                </w:tcPr>
                <w:p>
                  <w:pPr>
                    <w:spacing w:line="240" w:lineRule="atLeast"/>
                    <w:jc w:val="center"/>
                    <w:rPr>
                      <w:sz w:val="18"/>
                      <w:szCs w:val="18"/>
                    </w:rPr>
                  </w:pPr>
                </w:p>
              </w:tc>
              <w:tc>
                <w:tcPr>
                  <w:tcW w:w="160" w:type="pct"/>
                  <w:vMerge w:val="continue"/>
                  <w:vAlign w:val="center"/>
                </w:tcPr>
                <w:p>
                  <w:pPr>
                    <w:spacing w:line="240" w:lineRule="atLeast"/>
                    <w:jc w:val="center"/>
                    <w:rPr>
                      <w:sz w:val="18"/>
                      <w:szCs w:val="18"/>
                    </w:rPr>
                  </w:pPr>
                </w:p>
              </w:tc>
              <w:tc>
                <w:tcPr>
                  <w:tcW w:w="176" w:type="pct"/>
                  <w:vMerge w:val="continue"/>
                  <w:vAlign w:val="center"/>
                </w:tcPr>
                <w:p>
                  <w:pPr>
                    <w:spacing w:line="240" w:lineRule="atLeast"/>
                    <w:jc w:val="center"/>
                    <w:rPr>
                      <w:sz w:val="18"/>
                      <w:szCs w:val="18"/>
                    </w:rPr>
                  </w:pPr>
                </w:p>
              </w:tc>
              <w:tc>
                <w:tcPr>
                  <w:tcW w:w="239" w:type="pct"/>
                  <w:vMerge w:val="continue"/>
                  <w:vAlign w:val="center"/>
                </w:tcPr>
                <w:p>
                  <w:pPr>
                    <w:spacing w:line="240" w:lineRule="atLeast"/>
                    <w:jc w:val="center"/>
                    <w:rPr>
                      <w:sz w:val="18"/>
                      <w:szCs w:val="18"/>
                    </w:rPr>
                  </w:pPr>
                </w:p>
              </w:tc>
              <w:tc>
                <w:tcPr>
                  <w:tcW w:w="213" w:type="pct"/>
                  <w:vMerge w:val="continue"/>
                  <w:vAlign w:val="center"/>
                </w:tcPr>
                <w:p>
                  <w:pPr>
                    <w:spacing w:line="240" w:lineRule="atLeast"/>
                    <w:jc w:val="center"/>
                    <w:rPr>
                      <w:sz w:val="18"/>
                      <w:szCs w:val="18"/>
                    </w:rPr>
                  </w:pPr>
                </w:p>
              </w:tc>
              <w:tc>
                <w:tcPr>
                  <w:tcW w:w="275" w:type="pct"/>
                  <w:vMerge w:val="continue"/>
                  <w:vAlign w:val="center"/>
                </w:tcPr>
                <w:p>
                  <w:pPr>
                    <w:spacing w:line="240" w:lineRule="atLeast"/>
                    <w:jc w:val="center"/>
                    <w:rPr>
                      <w:sz w:val="18"/>
                      <w:szCs w:val="18"/>
                    </w:rPr>
                  </w:pPr>
                </w:p>
              </w:tc>
              <w:tc>
                <w:tcPr>
                  <w:tcW w:w="245" w:type="pct"/>
                  <w:vMerge w:val="continue"/>
                  <w:vAlign w:val="center"/>
                </w:tcPr>
                <w:p>
                  <w:pPr>
                    <w:spacing w:line="240" w:lineRule="atLeast"/>
                    <w:jc w:val="center"/>
                    <w:rPr>
                      <w:sz w:val="18"/>
                      <w:szCs w:val="18"/>
                    </w:rPr>
                  </w:pPr>
                </w:p>
              </w:tc>
              <w:tc>
                <w:tcPr>
                  <w:tcW w:w="238" w:type="pct"/>
                  <w:vMerge w:val="continue"/>
                  <w:vAlign w:val="center"/>
                </w:tcPr>
                <w:p>
                  <w:pPr>
                    <w:spacing w:line="240" w:lineRule="atLeast"/>
                    <w:jc w:val="center"/>
                    <w:rPr>
                      <w:sz w:val="18"/>
                      <w:szCs w:val="18"/>
                    </w:rPr>
                  </w:pPr>
                </w:p>
              </w:tc>
              <w:tc>
                <w:tcPr>
                  <w:tcW w:w="224" w:type="pct"/>
                  <w:vMerge w:val="continue"/>
                  <w:vAlign w:val="center"/>
                </w:tcPr>
                <w:p>
                  <w:pPr>
                    <w:spacing w:line="240" w:lineRule="atLeast"/>
                    <w:jc w:val="center"/>
                    <w:rPr>
                      <w:sz w:val="18"/>
                      <w:szCs w:val="18"/>
                    </w:rPr>
                  </w:pPr>
                </w:p>
              </w:tc>
              <w:tc>
                <w:tcPr>
                  <w:tcW w:w="212" w:type="pct"/>
                  <w:vMerge w:val="continue"/>
                  <w:vAlign w:val="center"/>
                </w:tcPr>
                <w:p>
                  <w:pPr>
                    <w:spacing w:line="240" w:lineRule="atLeast"/>
                    <w:jc w:val="center"/>
                    <w:rPr>
                      <w:sz w:val="18"/>
                      <w:szCs w:val="18"/>
                    </w:rPr>
                  </w:pPr>
                </w:p>
              </w:tc>
              <w:tc>
                <w:tcPr>
                  <w:tcW w:w="230" w:type="pct"/>
                  <w:vMerge w:val="continue"/>
                  <w:vAlign w:val="center"/>
                </w:tcPr>
                <w:p>
                  <w:pPr>
                    <w:spacing w:line="240" w:lineRule="atLeast"/>
                    <w:jc w:val="center"/>
                    <w:rPr>
                      <w:sz w:val="18"/>
                      <w:szCs w:val="18"/>
                    </w:rPr>
                  </w:pPr>
                </w:p>
              </w:tc>
              <w:tc>
                <w:tcPr>
                  <w:tcW w:w="108" w:type="pct"/>
                  <w:vMerge w:val="continue"/>
                  <w:vAlign w:val="center"/>
                </w:tcPr>
                <w:p>
                  <w:pPr>
                    <w:spacing w:line="240" w:lineRule="atLeast"/>
                    <w:jc w:val="center"/>
                    <w:rPr>
                      <w:sz w:val="18"/>
                      <w:szCs w:val="18"/>
                    </w:rPr>
                  </w:pPr>
                </w:p>
              </w:tc>
              <w:tc>
                <w:tcPr>
                  <w:tcW w:w="129" w:type="pct"/>
                  <w:vMerge w:val="continue"/>
                  <w:vAlign w:val="center"/>
                </w:tcPr>
                <w:p>
                  <w:pPr>
                    <w:spacing w:line="240" w:lineRule="atLeast"/>
                    <w:jc w:val="center"/>
                    <w:rPr>
                      <w:sz w:val="18"/>
                      <w:szCs w:val="18"/>
                    </w:rPr>
                  </w:pPr>
                </w:p>
              </w:tc>
              <w:tc>
                <w:tcPr>
                  <w:tcW w:w="193" w:type="pct"/>
                  <w:vAlign w:val="center"/>
                </w:tcPr>
                <w:p>
                  <w:pPr>
                    <w:spacing w:line="240" w:lineRule="atLeast"/>
                    <w:jc w:val="center"/>
                    <w:rPr>
                      <w:sz w:val="18"/>
                      <w:szCs w:val="18"/>
                    </w:rPr>
                  </w:pPr>
                  <w:r>
                    <w:rPr>
                      <w:sz w:val="18"/>
                      <w:szCs w:val="18"/>
                    </w:rPr>
                    <w:t>经度</w:t>
                  </w:r>
                </w:p>
              </w:tc>
              <w:tc>
                <w:tcPr>
                  <w:tcW w:w="215" w:type="pct"/>
                  <w:vAlign w:val="center"/>
                </w:tcPr>
                <w:p>
                  <w:pPr>
                    <w:spacing w:line="240" w:lineRule="atLeast"/>
                    <w:jc w:val="center"/>
                    <w:rPr>
                      <w:sz w:val="18"/>
                      <w:szCs w:val="18"/>
                    </w:rPr>
                  </w:pPr>
                  <w:r>
                    <w:rPr>
                      <w:sz w:val="18"/>
                      <w:szCs w:val="18"/>
                    </w:rPr>
                    <w:t>纬度</w:t>
                  </w:r>
                </w:p>
              </w:tc>
              <w:tc>
                <w:tcPr>
                  <w:tcW w:w="269" w:type="pct"/>
                  <w:vMerge w:val="continue"/>
                  <w:vAlign w:val="center"/>
                </w:tcPr>
                <w:p>
                  <w:pPr>
                    <w:spacing w:line="240" w:lineRule="atLeast"/>
                    <w:jc w:val="center"/>
                    <w:rPr>
                      <w:sz w:val="18"/>
                      <w:szCs w:val="18"/>
                    </w:rPr>
                  </w:pPr>
                </w:p>
              </w:tc>
              <w:tc>
                <w:tcPr>
                  <w:tcW w:w="225" w:type="pct"/>
                  <w:vMerge w:val="continue"/>
                  <w:vAlign w:val="center"/>
                </w:tcPr>
                <w:p>
                  <w:pPr>
                    <w:spacing w:line="240" w:lineRule="atLeast"/>
                    <w:jc w:val="center"/>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9" w:hRule="atLeast"/>
                <w:jc w:val="center"/>
              </w:trPr>
              <w:tc>
                <w:tcPr>
                  <w:tcW w:w="107" w:type="pct"/>
                  <w:vMerge w:val="restart"/>
                  <w:tcBorders>
                    <w:right w:val="single" w:color="000000" w:sz="6" w:space="0"/>
                  </w:tcBorders>
                  <w:vAlign w:val="center"/>
                </w:tcPr>
                <w:p>
                  <w:pPr>
                    <w:spacing w:line="240" w:lineRule="atLeast"/>
                    <w:jc w:val="center"/>
                    <w:rPr>
                      <w:sz w:val="18"/>
                      <w:szCs w:val="18"/>
                    </w:rPr>
                  </w:pPr>
                  <w:r>
                    <w:rPr>
                      <w:sz w:val="18"/>
                      <w:szCs w:val="18"/>
                    </w:rPr>
                    <w:t>食堂</w:t>
                  </w:r>
                </w:p>
              </w:tc>
              <w:tc>
                <w:tcPr>
                  <w:tcW w:w="177" w:type="pct"/>
                  <w:vMerge w:val="restart"/>
                  <w:tcBorders>
                    <w:left w:val="single" w:color="000000" w:sz="6" w:space="0"/>
                  </w:tcBorders>
                  <w:vAlign w:val="center"/>
                </w:tcPr>
                <w:p>
                  <w:pPr>
                    <w:autoSpaceDE w:val="0"/>
                    <w:autoSpaceDN w:val="0"/>
                    <w:adjustRightInd w:val="0"/>
                    <w:jc w:val="center"/>
                    <w:rPr>
                      <w:sz w:val="18"/>
                      <w:szCs w:val="18"/>
                    </w:rPr>
                  </w:pPr>
                  <w:r>
                    <w:rPr>
                      <w:sz w:val="18"/>
                      <w:szCs w:val="18"/>
                    </w:rPr>
                    <w:t>餐饮油烟</w:t>
                  </w:r>
                </w:p>
              </w:tc>
              <w:tc>
                <w:tcPr>
                  <w:tcW w:w="277" w:type="pct"/>
                  <w:vAlign w:val="center"/>
                </w:tcPr>
                <w:p>
                  <w:pPr>
                    <w:autoSpaceDE w:val="0"/>
                    <w:autoSpaceDN w:val="0"/>
                    <w:adjustRightInd w:val="0"/>
                    <w:jc w:val="center"/>
                    <w:rPr>
                      <w:sz w:val="18"/>
                      <w:szCs w:val="18"/>
                    </w:rPr>
                  </w:pPr>
                  <w:r>
                    <w:rPr>
                      <w:sz w:val="18"/>
                      <w:szCs w:val="18"/>
                    </w:rPr>
                    <w:t>0.</w:t>
                  </w:r>
                  <w:r>
                    <w:rPr>
                      <w:rFonts w:hint="eastAsia"/>
                      <w:sz w:val="18"/>
                      <w:szCs w:val="18"/>
                    </w:rPr>
                    <w:t>183</w:t>
                  </w:r>
                </w:p>
              </w:tc>
              <w:tc>
                <w:tcPr>
                  <w:tcW w:w="310" w:type="pct"/>
                  <w:vAlign w:val="center"/>
                </w:tcPr>
                <w:p>
                  <w:pPr>
                    <w:autoSpaceDE w:val="0"/>
                    <w:autoSpaceDN w:val="0"/>
                    <w:adjustRightInd w:val="0"/>
                    <w:jc w:val="center"/>
                    <w:rPr>
                      <w:sz w:val="18"/>
                      <w:szCs w:val="18"/>
                    </w:rPr>
                  </w:pPr>
                  <w:r>
                    <w:rPr>
                      <w:rFonts w:hint="eastAsia"/>
                      <w:sz w:val="18"/>
                      <w:szCs w:val="18"/>
                    </w:rPr>
                    <w:t>0.0759</w:t>
                  </w:r>
                </w:p>
              </w:tc>
              <w:tc>
                <w:tcPr>
                  <w:tcW w:w="354" w:type="pct"/>
                  <w:vAlign w:val="center"/>
                </w:tcPr>
                <w:p>
                  <w:pPr>
                    <w:autoSpaceDE w:val="0"/>
                    <w:autoSpaceDN w:val="0"/>
                    <w:adjustRightInd w:val="0"/>
                    <w:jc w:val="center"/>
                    <w:rPr>
                      <w:rFonts w:hint="default" w:eastAsia="宋体"/>
                      <w:sz w:val="18"/>
                      <w:szCs w:val="18"/>
                      <w:lang w:val="en-US" w:eastAsia="zh-CN"/>
                    </w:rPr>
                  </w:pPr>
                  <w:r>
                    <w:rPr>
                      <w:rFonts w:hint="eastAsia"/>
                      <w:sz w:val="18"/>
                      <w:szCs w:val="18"/>
                      <w:lang w:val="en-US" w:eastAsia="zh-CN"/>
                    </w:rPr>
                    <w:t>0.844</w:t>
                  </w:r>
                </w:p>
              </w:tc>
              <w:tc>
                <w:tcPr>
                  <w:tcW w:w="164" w:type="pct"/>
                  <w:vAlign w:val="center"/>
                </w:tcPr>
                <w:p>
                  <w:pPr>
                    <w:spacing w:line="240" w:lineRule="atLeast"/>
                    <w:jc w:val="center"/>
                    <w:rPr>
                      <w:sz w:val="18"/>
                      <w:szCs w:val="18"/>
                    </w:rPr>
                  </w:pPr>
                  <w:r>
                    <w:rPr>
                      <w:sz w:val="18"/>
                      <w:szCs w:val="18"/>
                    </w:rPr>
                    <w:t>有组织</w:t>
                  </w:r>
                </w:p>
              </w:tc>
              <w:tc>
                <w:tcPr>
                  <w:tcW w:w="251" w:type="pct"/>
                  <w:vAlign w:val="center"/>
                </w:tcPr>
                <w:p>
                  <w:pPr>
                    <w:spacing w:line="240" w:lineRule="atLeast"/>
                    <w:jc w:val="center"/>
                    <w:rPr>
                      <w:sz w:val="18"/>
                      <w:szCs w:val="18"/>
                    </w:rPr>
                  </w:pPr>
                  <w:r>
                    <w:rPr>
                      <w:sz w:val="18"/>
                      <w:szCs w:val="18"/>
                    </w:rPr>
                    <w:t>集气罩收集+油烟净化器</w:t>
                  </w:r>
                </w:p>
              </w:tc>
              <w:tc>
                <w:tcPr>
                  <w:tcW w:w="160" w:type="pct"/>
                  <w:vAlign w:val="center"/>
                </w:tcPr>
                <w:p>
                  <w:pPr>
                    <w:spacing w:line="240" w:lineRule="atLeast"/>
                    <w:jc w:val="center"/>
                    <w:rPr>
                      <w:sz w:val="18"/>
                      <w:szCs w:val="18"/>
                    </w:rPr>
                  </w:pPr>
                  <w:r>
                    <w:rPr>
                      <w:sz w:val="18"/>
                      <w:szCs w:val="18"/>
                    </w:rPr>
                    <w:t>/</w:t>
                  </w:r>
                </w:p>
              </w:tc>
              <w:tc>
                <w:tcPr>
                  <w:tcW w:w="176" w:type="pct"/>
                  <w:vAlign w:val="center"/>
                </w:tcPr>
                <w:p>
                  <w:pPr>
                    <w:spacing w:line="240" w:lineRule="atLeast"/>
                    <w:jc w:val="center"/>
                    <w:rPr>
                      <w:sz w:val="18"/>
                      <w:szCs w:val="18"/>
                    </w:rPr>
                  </w:pPr>
                  <w:r>
                    <w:rPr>
                      <w:sz w:val="18"/>
                      <w:szCs w:val="18"/>
                    </w:rPr>
                    <w:t>90%</w:t>
                  </w:r>
                </w:p>
              </w:tc>
              <w:tc>
                <w:tcPr>
                  <w:tcW w:w="239" w:type="pct"/>
                  <w:vAlign w:val="center"/>
                </w:tcPr>
                <w:p>
                  <w:pPr>
                    <w:spacing w:line="240" w:lineRule="atLeast"/>
                    <w:jc w:val="center"/>
                    <w:rPr>
                      <w:sz w:val="18"/>
                      <w:szCs w:val="18"/>
                    </w:rPr>
                  </w:pPr>
                  <w:r>
                    <w:rPr>
                      <w:sz w:val="18"/>
                      <w:szCs w:val="18"/>
                    </w:rPr>
                    <w:t>75%</w:t>
                  </w:r>
                </w:p>
              </w:tc>
              <w:tc>
                <w:tcPr>
                  <w:tcW w:w="213" w:type="pct"/>
                  <w:vAlign w:val="center"/>
                </w:tcPr>
                <w:p>
                  <w:pPr>
                    <w:spacing w:line="240" w:lineRule="atLeast"/>
                    <w:jc w:val="center"/>
                    <w:rPr>
                      <w:sz w:val="18"/>
                      <w:szCs w:val="18"/>
                    </w:rPr>
                  </w:pPr>
                  <w:r>
                    <w:rPr>
                      <w:sz w:val="18"/>
                      <w:szCs w:val="18"/>
                    </w:rPr>
                    <w:t>是</w:t>
                  </w:r>
                </w:p>
              </w:tc>
              <w:tc>
                <w:tcPr>
                  <w:tcW w:w="275" w:type="pct"/>
                  <w:vAlign w:val="center"/>
                </w:tcPr>
                <w:p>
                  <w:pPr>
                    <w:autoSpaceDE w:val="0"/>
                    <w:autoSpaceDN w:val="0"/>
                    <w:adjustRightInd w:val="0"/>
                    <w:jc w:val="center"/>
                    <w:rPr>
                      <w:sz w:val="18"/>
                      <w:szCs w:val="18"/>
                    </w:rPr>
                  </w:pPr>
                  <w:r>
                    <w:rPr>
                      <w:rFonts w:hint="eastAsia"/>
                      <w:sz w:val="18"/>
                      <w:szCs w:val="18"/>
                    </w:rPr>
                    <w:t>0.04</w:t>
                  </w:r>
                  <w:r>
                    <w:rPr>
                      <w:rFonts w:hint="eastAsia"/>
                      <w:sz w:val="18"/>
                      <w:szCs w:val="18"/>
                      <w:lang w:val="en-US" w:eastAsia="zh-CN"/>
                    </w:rPr>
                    <w:t>5</w:t>
                  </w:r>
                  <w:r>
                    <w:rPr>
                      <w:rFonts w:hint="eastAsia"/>
                      <w:sz w:val="18"/>
                      <w:szCs w:val="18"/>
                    </w:rPr>
                    <w:t>6</w:t>
                  </w:r>
                </w:p>
              </w:tc>
              <w:tc>
                <w:tcPr>
                  <w:tcW w:w="245" w:type="pct"/>
                  <w:vAlign w:val="center"/>
                </w:tcPr>
                <w:p>
                  <w:pPr>
                    <w:autoSpaceDE w:val="0"/>
                    <w:autoSpaceDN w:val="0"/>
                    <w:adjustRightInd w:val="0"/>
                    <w:jc w:val="center"/>
                    <w:rPr>
                      <w:sz w:val="18"/>
                      <w:szCs w:val="18"/>
                    </w:rPr>
                  </w:pPr>
                  <w:r>
                    <w:rPr>
                      <w:sz w:val="18"/>
                      <w:szCs w:val="18"/>
                    </w:rPr>
                    <w:t>0.01898</w:t>
                  </w:r>
                </w:p>
              </w:tc>
              <w:tc>
                <w:tcPr>
                  <w:tcW w:w="238" w:type="pct"/>
                  <w:vAlign w:val="center"/>
                </w:tcPr>
                <w:p>
                  <w:pPr>
                    <w:autoSpaceDE w:val="0"/>
                    <w:autoSpaceDN w:val="0"/>
                    <w:adjustRightInd w:val="0"/>
                    <w:jc w:val="center"/>
                    <w:rPr>
                      <w:sz w:val="18"/>
                      <w:szCs w:val="18"/>
                    </w:rPr>
                  </w:pPr>
                  <w:r>
                    <w:rPr>
                      <w:sz w:val="18"/>
                      <w:szCs w:val="18"/>
                    </w:rPr>
                    <w:t>1.8984</w:t>
                  </w:r>
                </w:p>
              </w:tc>
              <w:tc>
                <w:tcPr>
                  <w:tcW w:w="224" w:type="pct"/>
                  <w:vAlign w:val="center"/>
                </w:tcPr>
                <w:p>
                  <w:pPr>
                    <w:spacing w:line="240" w:lineRule="atLeast"/>
                    <w:jc w:val="center"/>
                    <w:rPr>
                      <w:sz w:val="18"/>
                      <w:szCs w:val="18"/>
                    </w:rPr>
                  </w:pPr>
                  <w:r>
                    <w:rPr>
                      <w:sz w:val="18"/>
                      <w:szCs w:val="18"/>
                    </w:rPr>
                    <w:t>/</w:t>
                  </w:r>
                </w:p>
              </w:tc>
              <w:tc>
                <w:tcPr>
                  <w:tcW w:w="212" w:type="pct"/>
                  <w:vAlign w:val="center"/>
                </w:tcPr>
                <w:p>
                  <w:pPr>
                    <w:spacing w:line="240" w:lineRule="atLeast"/>
                    <w:jc w:val="center"/>
                    <w:rPr>
                      <w:sz w:val="18"/>
                      <w:szCs w:val="18"/>
                    </w:rPr>
                  </w:pPr>
                  <w:r>
                    <w:rPr>
                      <w:sz w:val="18"/>
                      <w:szCs w:val="18"/>
                    </w:rPr>
                    <w:t>0.3</w:t>
                  </w:r>
                </w:p>
              </w:tc>
              <w:tc>
                <w:tcPr>
                  <w:tcW w:w="230" w:type="pct"/>
                  <w:vAlign w:val="center"/>
                </w:tcPr>
                <w:p>
                  <w:pPr>
                    <w:spacing w:line="240" w:lineRule="atLeast"/>
                    <w:jc w:val="center"/>
                    <w:rPr>
                      <w:sz w:val="18"/>
                      <w:szCs w:val="18"/>
                    </w:rPr>
                  </w:pPr>
                  <w:r>
                    <w:rPr>
                      <w:sz w:val="18"/>
                      <w:szCs w:val="18"/>
                    </w:rPr>
                    <w:t>40</w:t>
                  </w:r>
                </w:p>
              </w:tc>
              <w:tc>
                <w:tcPr>
                  <w:tcW w:w="108" w:type="pct"/>
                  <w:vAlign w:val="center"/>
                </w:tcPr>
                <w:p>
                  <w:pPr>
                    <w:spacing w:line="240" w:lineRule="atLeast"/>
                    <w:jc w:val="center"/>
                    <w:rPr>
                      <w:sz w:val="18"/>
                      <w:szCs w:val="18"/>
                    </w:rPr>
                  </w:pPr>
                  <w:r>
                    <w:rPr>
                      <w:sz w:val="18"/>
                      <w:szCs w:val="18"/>
                    </w:rPr>
                    <w:t>/</w:t>
                  </w:r>
                </w:p>
              </w:tc>
              <w:tc>
                <w:tcPr>
                  <w:tcW w:w="129" w:type="pct"/>
                  <w:vAlign w:val="center"/>
                </w:tcPr>
                <w:p>
                  <w:pPr>
                    <w:spacing w:line="240" w:lineRule="atLeast"/>
                    <w:jc w:val="center"/>
                    <w:rPr>
                      <w:sz w:val="18"/>
                      <w:szCs w:val="18"/>
                    </w:rPr>
                  </w:pPr>
                  <w:r>
                    <w:rPr>
                      <w:sz w:val="18"/>
                      <w:szCs w:val="18"/>
                    </w:rPr>
                    <w:t>/</w:t>
                  </w:r>
                </w:p>
              </w:tc>
              <w:tc>
                <w:tcPr>
                  <w:tcW w:w="193" w:type="pct"/>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118.2579</w:t>
                  </w:r>
                </w:p>
              </w:tc>
              <w:tc>
                <w:tcPr>
                  <w:tcW w:w="215" w:type="pct"/>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29.7856</w:t>
                  </w:r>
                </w:p>
              </w:tc>
              <w:tc>
                <w:tcPr>
                  <w:tcW w:w="269" w:type="pct"/>
                  <w:vAlign w:val="center"/>
                </w:tcPr>
                <w:p>
                  <w:pPr>
                    <w:autoSpaceDE w:val="0"/>
                    <w:autoSpaceDN w:val="0"/>
                    <w:adjustRightInd w:val="0"/>
                    <w:jc w:val="center"/>
                    <w:rPr>
                      <w:sz w:val="18"/>
                      <w:szCs w:val="18"/>
                    </w:rPr>
                  </w:pPr>
                  <w:r>
                    <w:rPr>
                      <w:sz w:val="18"/>
                      <w:szCs w:val="18"/>
                    </w:rPr>
                    <w:t>2.0</w:t>
                  </w:r>
                </w:p>
              </w:tc>
              <w:tc>
                <w:tcPr>
                  <w:tcW w:w="225" w:type="pct"/>
                  <w:vAlign w:val="center"/>
                </w:tcPr>
                <w:p>
                  <w:pPr>
                    <w:autoSpaceDE w:val="0"/>
                    <w:autoSpaceDN w:val="0"/>
                    <w:adjustRightInd w:val="0"/>
                    <w:jc w:val="center"/>
                    <w:rPr>
                      <w:sz w:val="18"/>
                      <w:szCs w:val="18"/>
                    </w:rPr>
                  </w:pPr>
                  <w:r>
                    <w:rPr>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69" w:hRule="atLeast"/>
                <w:jc w:val="center"/>
              </w:trPr>
              <w:tc>
                <w:tcPr>
                  <w:tcW w:w="107" w:type="pct"/>
                  <w:vMerge w:val="continue"/>
                  <w:tcBorders>
                    <w:right w:val="single" w:color="000000" w:sz="6" w:space="0"/>
                  </w:tcBorders>
                  <w:vAlign w:val="center"/>
                </w:tcPr>
                <w:p>
                  <w:pPr>
                    <w:spacing w:line="240" w:lineRule="atLeast"/>
                    <w:jc w:val="center"/>
                    <w:rPr>
                      <w:sz w:val="18"/>
                      <w:szCs w:val="18"/>
                    </w:rPr>
                  </w:pPr>
                </w:p>
              </w:tc>
              <w:tc>
                <w:tcPr>
                  <w:tcW w:w="177" w:type="pct"/>
                  <w:vMerge w:val="continue"/>
                  <w:tcBorders>
                    <w:left w:val="single" w:color="000000" w:sz="6" w:space="0"/>
                  </w:tcBorders>
                  <w:vAlign w:val="center"/>
                </w:tcPr>
                <w:p>
                  <w:pPr>
                    <w:autoSpaceDE w:val="0"/>
                    <w:autoSpaceDN w:val="0"/>
                    <w:adjustRightInd w:val="0"/>
                    <w:jc w:val="center"/>
                    <w:rPr>
                      <w:sz w:val="18"/>
                      <w:szCs w:val="18"/>
                    </w:rPr>
                  </w:pPr>
                </w:p>
              </w:tc>
              <w:tc>
                <w:tcPr>
                  <w:tcW w:w="277" w:type="pct"/>
                  <w:vAlign w:val="center"/>
                </w:tcPr>
                <w:p>
                  <w:pPr>
                    <w:autoSpaceDE w:val="0"/>
                    <w:autoSpaceDN w:val="0"/>
                    <w:adjustRightInd w:val="0"/>
                    <w:jc w:val="center"/>
                    <w:rPr>
                      <w:rFonts w:hint="default" w:eastAsia="宋体"/>
                      <w:sz w:val="18"/>
                      <w:szCs w:val="18"/>
                      <w:lang w:val="en-US" w:eastAsia="zh-CN"/>
                    </w:rPr>
                  </w:pPr>
                  <w:r>
                    <w:rPr>
                      <w:rFonts w:hint="eastAsia"/>
                      <w:sz w:val="18"/>
                      <w:szCs w:val="18"/>
                    </w:rPr>
                    <w:t>0.0</w:t>
                  </w:r>
                  <w:r>
                    <w:rPr>
                      <w:rFonts w:hint="eastAsia"/>
                      <w:sz w:val="18"/>
                      <w:szCs w:val="18"/>
                      <w:lang w:val="en-US" w:eastAsia="zh-CN"/>
                    </w:rPr>
                    <w:t>203</w:t>
                  </w:r>
                </w:p>
              </w:tc>
              <w:tc>
                <w:tcPr>
                  <w:tcW w:w="310" w:type="pct"/>
                  <w:vAlign w:val="center"/>
                </w:tcPr>
                <w:p>
                  <w:pPr>
                    <w:autoSpaceDE w:val="0"/>
                    <w:autoSpaceDN w:val="0"/>
                    <w:adjustRightInd w:val="0"/>
                    <w:jc w:val="center"/>
                    <w:rPr>
                      <w:rFonts w:hint="eastAsia" w:eastAsia="宋体"/>
                      <w:sz w:val="18"/>
                      <w:szCs w:val="18"/>
                      <w:lang w:eastAsia="zh-CN"/>
                    </w:rPr>
                  </w:pPr>
                  <w:r>
                    <w:rPr>
                      <w:rFonts w:hint="eastAsia"/>
                      <w:sz w:val="18"/>
                      <w:szCs w:val="18"/>
                    </w:rPr>
                    <w:t>0.008</w:t>
                  </w:r>
                  <w:r>
                    <w:rPr>
                      <w:rFonts w:hint="eastAsia"/>
                      <w:sz w:val="18"/>
                      <w:szCs w:val="18"/>
                      <w:lang w:val="en-US" w:eastAsia="zh-CN"/>
                    </w:rPr>
                    <w:t>5</w:t>
                  </w:r>
                </w:p>
              </w:tc>
              <w:tc>
                <w:tcPr>
                  <w:tcW w:w="354" w:type="pct"/>
                  <w:vAlign w:val="center"/>
                </w:tcPr>
                <w:p>
                  <w:pPr>
                    <w:autoSpaceDE w:val="0"/>
                    <w:autoSpaceDN w:val="0"/>
                    <w:adjustRightInd w:val="0"/>
                    <w:jc w:val="center"/>
                    <w:rPr>
                      <w:sz w:val="18"/>
                      <w:szCs w:val="18"/>
                    </w:rPr>
                  </w:pPr>
                  <w:r>
                    <w:rPr>
                      <w:rFonts w:hint="eastAsia"/>
                      <w:sz w:val="18"/>
                      <w:szCs w:val="18"/>
                    </w:rPr>
                    <w:t>/</w:t>
                  </w:r>
                </w:p>
              </w:tc>
              <w:tc>
                <w:tcPr>
                  <w:tcW w:w="164" w:type="pct"/>
                  <w:vAlign w:val="center"/>
                </w:tcPr>
                <w:p>
                  <w:pPr>
                    <w:spacing w:line="240" w:lineRule="atLeast"/>
                    <w:jc w:val="center"/>
                    <w:rPr>
                      <w:sz w:val="18"/>
                      <w:szCs w:val="18"/>
                    </w:rPr>
                  </w:pPr>
                  <w:r>
                    <w:rPr>
                      <w:sz w:val="18"/>
                      <w:szCs w:val="18"/>
                    </w:rPr>
                    <w:t>无组织</w:t>
                  </w:r>
                </w:p>
              </w:tc>
              <w:tc>
                <w:tcPr>
                  <w:tcW w:w="251" w:type="pct"/>
                  <w:vAlign w:val="center"/>
                </w:tcPr>
                <w:p>
                  <w:pPr>
                    <w:spacing w:line="240" w:lineRule="atLeast"/>
                    <w:jc w:val="center"/>
                    <w:rPr>
                      <w:sz w:val="18"/>
                      <w:szCs w:val="18"/>
                    </w:rPr>
                  </w:pPr>
                  <w:r>
                    <w:rPr>
                      <w:sz w:val="18"/>
                      <w:szCs w:val="18"/>
                    </w:rPr>
                    <w:t>/</w:t>
                  </w:r>
                </w:p>
              </w:tc>
              <w:tc>
                <w:tcPr>
                  <w:tcW w:w="160" w:type="pct"/>
                  <w:vAlign w:val="center"/>
                </w:tcPr>
                <w:p>
                  <w:pPr>
                    <w:spacing w:line="240" w:lineRule="atLeast"/>
                    <w:jc w:val="center"/>
                    <w:rPr>
                      <w:sz w:val="18"/>
                      <w:szCs w:val="18"/>
                    </w:rPr>
                  </w:pPr>
                  <w:r>
                    <w:rPr>
                      <w:sz w:val="18"/>
                      <w:szCs w:val="18"/>
                    </w:rPr>
                    <w:t>/</w:t>
                  </w:r>
                </w:p>
              </w:tc>
              <w:tc>
                <w:tcPr>
                  <w:tcW w:w="176" w:type="pct"/>
                  <w:vAlign w:val="center"/>
                </w:tcPr>
                <w:p>
                  <w:pPr>
                    <w:spacing w:line="240" w:lineRule="atLeast"/>
                    <w:jc w:val="center"/>
                    <w:rPr>
                      <w:rFonts w:hint="eastAsia" w:eastAsia="宋体"/>
                      <w:sz w:val="18"/>
                      <w:szCs w:val="18"/>
                      <w:lang w:val="en-US" w:eastAsia="zh-CN"/>
                    </w:rPr>
                  </w:pPr>
                  <w:r>
                    <w:rPr>
                      <w:rFonts w:hint="eastAsia"/>
                      <w:sz w:val="18"/>
                      <w:szCs w:val="18"/>
                      <w:lang w:val="en-US" w:eastAsia="zh-CN"/>
                    </w:rPr>
                    <w:t>/</w:t>
                  </w:r>
                </w:p>
              </w:tc>
              <w:tc>
                <w:tcPr>
                  <w:tcW w:w="239" w:type="pct"/>
                  <w:vAlign w:val="center"/>
                </w:tcPr>
                <w:p>
                  <w:pPr>
                    <w:spacing w:line="240" w:lineRule="atLeast"/>
                    <w:jc w:val="center"/>
                    <w:rPr>
                      <w:sz w:val="18"/>
                      <w:szCs w:val="18"/>
                    </w:rPr>
                  </w:pPr>
                  <w:r>
                    <w:rPr>
                      <w:sz w:val="18"/>
                      <w:szCs w:val="18"/>
                    </w:rPr>
                    <w:t>/</w:t>
                  </w:r>
                </w:p>
              </w:tc>
              <w:tc>
                <w:tcPr>
                  <w:tcW w:w="213" w:type="pct"/>
                  <w:vAlign w:val="center"/>
                </w:tcPr>
                <w:p>
                  <w:pPr>
                    <w:spacing w:line="240" w:lineRule="atLeast"/>
                    <w:jc w:val="center"/>
                    <w:rPr>
                      <w:sz w:val="18"/>
                      <w:szCs w:val="18"/>
                    </w:rPr>
                  </w:pPr>
                  <w:r>
                    <w:rPr>
                      <w:sz w:val="18"/>
                      <w:szCs w:val="18"/>
                    </w:rPr>
                    <w:t>是</w:t>
                  </w:r>
                </w:p>
              </w:tc>
              <w:tc>
                <w:tcPr>
                  <w:tcW w:w="275" w:type="pct"/>
                  <w:vAlign w:val="center"/>
                </w:tcPr>
                <w:p>
                  <w:pPr>
                    <w:autoSpaceDE w:val="0"/>
                    <w:autoSpaceDN w:val="0"/>
                    <w:adjustRightInd w:val="0"/>
                    <w:jc w:val="center"/>
                    <w:rPr>
                      <w:rFonts w:hint="eastAsia" w:eastAsia="宋体"/>
                      <w:sz w:val="18"/>
                      <w:szCs w:val="18"/>
                      <w:lang w:val="en-US" w:eastAsia="zh-CN"/>
                    </w:rPr>
                  </w:pPr>
                  <w:r>
                    <w:rPr>
                      <w:sz w:val="18"/>
                      <w:szCs w:val="18"/>
                    </w:rPr>
                    <w:t>0.0</w:t>
                  </w:r>
                  <w:r>
                    <w:rPr>
                      <w:rFonts w:hint="eastAsia"/>
                      <w:sz w:val="18"/>
                      <w:szCs w:val="18"/>
                    </w:rPr>
                    <w:t>20</w:t>
                  </w:r>
                  <w:r>
                    <w:rPr>
                      <w:rFonts w:hint="eastAsia"/>
                      <w:sz w:val="18"/>
                      <w:szCs w:val="18"/>
                      <w:lang w:val="en-US" w:eastAsia="zh-CN"/>
                    </w:rPr>
                    <w:t>3</w:t>
                  </w:r>
                </w:p>
              </w:tc>
              <w:tc>
                <w:tcPr>
                  <w:tcW w:w="245" w:type="pct"/>
                  <w:vAlign w:val="center"/>
                </w:tcPr>
                <w:p>
                  <w:pPr>
                    <w:autoSpaceDE w:val="0"/>
                    <w:autoSpaceDN w:val="0"/>
                    <w:adjustRightInd w:val="0"/>
                    <w:jc w:val="center"/>
                    <w:rPr>
                      <w:sz w:val="18"/>
                      <w:szCs w:val="18"/>
                    </w:rPr>
                  </w:pPr>
                  <w:r>
                    <w:rPr>
                      <w:sz w:val="18"/>
                      <w:szCs w:val="18"/>
                    </w:rPr>
                    <w:t>0.</w:t>
                  </w:r>
                  <w:r>
                    <w:rPr>
                      <w:rFonts w:hint="eastAsia"/>
                      <w:sz w:val="18"/>
                      <w:szCs w:val="18"/>
                    </w:rPr>
                    <w:t>0084</w:t>
                  </w:r>
                </w:p>
              </w:tc>
              <w:tc>
                <w:tcPr>
                  <w:tcW w:w="238" w:type="pct"/>
                  <w:vAlign w:val="center"/>
                </w:tcPr>
                <w:p>
                  <w:pPr>
                    <w:autoSpaceDE w:val="0"/>
                    <w:autoSpaceDN w:val="0"/>
                    <w:adjustRightInd w:val="0"/>
                    <w:jc w:val="center"/>
                    <w:rPr>
                      <w:sz w:val="18"/>
                      <w:szCs w:val="18"/>
                    </w:rPr>
                  </w:pPr>
                  <w:r>
                    <w:rPr>
                      <w:rFonts w:hint="eastAsia"/>
                      <w:sz w:val="18"/>
                      <w:szCs w:val="18"/>
                    </w:rPr>
                    <w:t>/</w:t>
                  </w:r>
                </w:p>
              </w:tc>
              <w:tc>
                <w:tcPr>
                  <w:tcW w:w="224" w:type="pct"/>
                  <w:vAlign w:val="center"/>
                </w:tcPr>
                <w:p>
                  <w:pPr>
                    <w:spacing w:line="240" w:lineRule="atLeast"/>
                    <w:jc w:val="center"/>
                    <w:rPr>
                      <w:sz w:val="18"/>
                      <w:szCs w:val="18"/>
                    </w:rPr>
                  </w:pPr>
                  <w:r>
                    <w:rPr>
                      <w:sz w:val="18"/>
                      <w:szCs w:val="18"/>
                    </w:rPr>
                    <w:t>/</w:t>
                  </w:r>
                </w:p>
              </w:tc>
              <w:tc>
                <w:tcPr>
                  <w:tcW w:w="212" w:type="pct"/>
                  <w:vAlign w:val="center"/>
                </w:tcPr>
                <w:p>
                  <w:pPr>
                    <w:spacing w:line="240" w:lineRule="atLeast"/>
                    <w:jc w:val="center"/>
                    <w:rPr>
                      <w:sz w:val="18"/>
                      <w:szCs w:val="18"/>
                    </w:rPr>
                  </w:pPr>
                  <w:r>
                    <w:rPr>
                      <w:sz w:val="18"/>
                      <w:szCs w:val="18"/>
                    </w:rPr>
                    <w:t>/</w:t>
                  </w:r>
                </w:p>
              </w:tc>
              <w:tc>
                <w:tcPr>
                  <w:tcW w:w="230" w:type="pct"/>
                  <w:vAlign w:val="center"/>
                </w:tcPr>
                <w:p>
                  <w:pPr>
                    <w:spacing w:line="240" w:lineRule="atLeast"/>
                    <w:jc w:val="center"/>
                    <w:rPr>
                      <w:sz w:val="18"/>
                      <w:szCs w:val="18"/>
                    </w:rPr>
                  </w:pPr>
                  <w:r>
                    <w:rPr>
                      <w:sz w:val="18"/>
                      <w:szCs w:val="18"/>
                    </w:rPr>
                    <w:t>/</w:t>
                  </w:r>
                </w:p>
              </w:tc>
              <w:tc>
                <w:tcPr>
                  <w:tcW w:w="108" w:type="pct"/>
                  <w:vAlign w:val="center"/>
                </w:tcPr>
                <w:p>
                  <w:pPr>
                    <w:spacing w:line="240" w:lineRule="atLeast"/>
                    <w:jc w:val="center"/>
                    <w:rPr>
                      <w:sz w:val="18"/>
                      <w:szCs w:val="18"/>
                    </w:rPr>
                  </w:pPr>
                  <w:r>
                    <w:rPr>
                      <w:sz w:val="18"/>
                      <w:szCs w:val="18"/>
                    </w:rPr>
                    <w:t>/</w:t>
                  </w:r>
                </w:p>
              </w:tc>
              <w:tc>
                <w:tcPr>
                  <w:tcW w:w="129" w:type="pct"/>
                  <w:vAlign w:val="center"/>
                </w:tcPr>
                <w:p>
                  <w:pPr>
                    <w:spacing w:line="240" w:lineRule="atLeast"/>
                    <w:jc w:val="center"/>
                    <w:rPr>
                      <w:sz w:val="18"/>
                      <w:szCs w:val="18"/>
                    </w:rPr>
                  </w:pPr>
                  <w:r>
                    <w:rPr>
                      <w:sz w:val="18"/>
                      <w:szCs w:val="18"/>
                    </w:rPr>
                    <w:t>/</w:t>
                  </w:r>
                </w:p>
              </w:tc>
              <w:tc>
                <w:tcPr>
                  <w:tcW w:w="193" w:type="pct"/>
                  <w:vAlign w:val="center"/>
                </w:tcPr>
                <w:p>
                  <w:pPr>
                    <w:jc w:val="center"/>
                    <w:rPr>
                      <w:sz w:val="18"/>
                      <w:szCs w:val="18"/>
                    </w:rPr>
                  </w:pPr>
                  <w:r>
                    <w:rPr>
                      <w:sz w:val="18"/>
                      <w:szCs w:val="18"/>
                    </w:rPr>
                    <w:t>/</w:t>
                  </w:r>
                </w:p>
              </w:tc>
              <w:tc>
                <w:tcPr>
                  <w:tcW w:w="215" w:type="pct"/>
                  <w:vAlign w:val="center"/>
                </w:tcPr>
                <w:p>
                  <w:pPr>
                    <w:jc w:val="center"/>
                    <w:rPr>
                      <w:sz w:val="18"/>
                      <w:szCs w:val="18"/>
                    </w:rPr>
                  </w:pPr>
                  <w:r>
                    <w:rPr>
                      <w:sz w:val="18"/>
                      <w:szCs w:val="18"/>
                    </w:rPr>
                    <w:t>/</w:t>
                  </w:r>
                </w:p>
              </w:tc>
              <w:tc>
                <w:tcPr>
                  <w:tcW w:w="269" w:type="pct"/>
                  <w:vAlign w:val="center"/>
                </w:tcPr>
                <w:p>
                  <w:pPr>
                    <w:autoSpaceDE w:val="0"/>
                    <w:autoSpaceDN w:val="0"/>
                    <w:adjustRightInd w:val="0"/>
                    <w:jc w:val="center"/>
                    <w:rPr>
                      <w:sz w:val="18"/>
                      <w:szCs w:val="18"/>
                    </w:rPr>
                  </w:pPr>
                  <w:r>
                    <w:rPr>
                      <w:sz w:val="18"/>
                      <w:szCs w:val="18"/>
                    </w:rPr>
                    <w:t>/</w:t>
                  </w:r>
                </w:p>
              </w:tc>
              <w:tc>
                <w:tcPr>
                  <w:tcW w:w="225" w:type="pct"/>
                  <w:vAlign w:val="center"/>
                </w:tcPr>
                <w:p>
                  <w:pPr>
                    <w:autoSpaceDE w:val="0"/>
                    <w:autoSpaceDN w:val="0"/>
                    <w:adjustRightInd w:val="0"/>
                    <w:jc w:val="center"/>
                    <w:rPr>
                      <w:sz w:val="18"/>
                      <w:szCs w:val="18"/>
                    </w:rPr>
                  </w:pPr>
                  <w:r>
                    <w:rPr>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4" w:hRule="atLeast"/>
                <w:jc w:val="center"/>
              </w:trPr>
              <w:tc>
                <w:tcPr>
                  <w:tcW w:w="107" w:type="pct"/>
                  <w:vMerge w:val="restart"/>
                  <w:tcBorders>
                    <w:right w:val="single" w:color="000000" w:sz="6"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实验室</w:t>
                  </w:r>
                </w:p>
              </w:tc>
              <w:tc>
                <w:tcPr>
                  <w:tcW w:w="177" w:type="pct"/>
                  <w:vMerge w:val="restart"/>
                  <w:tcBorders>
                    <w:left w:val="single" w:color="000000" w:sz="6" w:space="0"/>
                  </w:tcBorders>
                  <w:vAlign w:val="center"/>
                </w:tcPr>
                <w:p>
                  <w:pPr>
                    <w:autoSpaceDE w:val="0"/>
                    <w:autoSpaceDN w:val="0"/>
                    <w:adjustRightInd w:val="0"/>
                    <w:jc w:val="center"/>
                    <w:rPr>
                      <w:rFonts w:hint="default" w:eastAsia="宋体"/>
                      <w:color w:val="auto"/>
                      <w:sz w:val="18"/>
                      <w:szCs w:val="18"/>
                      <w:lang w:val="en-US" w:eastAsia="zh-CN"/>
                    </w:rPr>
                  </w:pPr>
                  <w:r>
                    <w:rPr>
                      <w:rFonts w:hint="eastAsia"/>
                      <w:color w:val="auto"/>
                      <w:sz w:val="18"/>
                      <w:szCs w:val="18"/>
                      <w:lang w:val="en-US" w:eastAsia="zh-CN"/>
                    </w:rPr>
                    <w:t>氯化氢</w:t>
                  </w:r>
                </w:p>
              </w:tc>
              <w:tc>
                <w:tcPr>
                  <w:tcW w:w="277"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0.00017</w:t>
                  </w:r>
                </w:p>
              </w:tc>
              <w:tc>
                <w:tcPr>
                  <w:tcW w:w="310"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0.00028</w:t>
                  </w:r>
                </w:p>
              </w:tc>
              <w:tc>
                <w:tcPr>
                  <w:tcW w:w="354"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0.28</w:t>
                  </w:r>
                </w:p>
              </w:tc>
              <w:tc>
                <w:tcPr>
                  <w:tcW w:w="164"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有组织</w:t>
                  </w:r>
                </w:p>
              </w:tc>
              <w:tc>
                <w:tcPr>
                  <w:tcW w:w="251"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通风橱收集+15m高排气筒排放</w:t>
                  </w:r>
                </w:p>
              </w:tc>
              <w:tc>
                <w:tcPr>
                  <w:tcW w:w="160"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176"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85%</w:t>
                  </w:r>
                </w:p>
              </w:tc>
              <w:tc>
                <w:tcPr>
                  <w:tcW w:w="239"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13"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w:t>
                  </w:r>
                </w:p>
              </w:tc>
              <w:tc>
                <w:tcPr>
                  <w:tcW w:w="275"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0.00017</w:t>
                  </w:r>
                </w:p>
              </w:tc>
              <w:tc>
                <w:tcPr>
                  <w:tcW w:w="245"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0.00028</w:t>
                  </w:r>
                </w:p>
              </w:tc>
              <w:tc>
                <w:tcPr>
                  <w:tcW w:w="238"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0.28</w:t>
                  </w:r>
                </w:p>
              </w:tc>
              <w:tc>
                <w:tcPr>
                  <w:tcW w:w="224"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15</w:t>
                  </w:r>
                </w:p>
              </w:tc>
              <w:tc>
                <w:tcPr>
                  <w:tcW w:w="212" w:type="pct"/>
                  <w:tcBorders>
                    <w:bottom w:val="single" w:color="auto" w:sz="4" w:space="0"/>
                  </w:tcBorders>
                  <w:vAlign w:val="center"/>
                </w:tcPr>
                <w:p>
                  <w:pPr>
                    <w:spacing w:line="240" w:lineRule="atLeast"/>
                    <w:jc w:val="center"/>
                    <w:rPr>
                      <w:color w:val="auto"/>
                      <w:sz w:val="18"/>
                      <w:szCs w:val="18"/>
                    </w:rPr>
                  </w:pPr>
                  <w:r>
                    <w:rPr>
                      <w:color w:val="auto"/>
                      <w:sz w:val="18"/>
                      <w:szCs w:val="18"/>
                    </w:rPr>
                    <w:t>0.3</w:t>
                  </w:r>
                </w:p>
              </w:tc>
              <w:tc>
                <w:tcPr>
                  <w:tcW w:w="230"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25</w:t>
                  </w:r>
                </w:p>
              </w:tc>
              <w:tc>
                <w:tcPr>
                  <w:tcW w:w="108"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DA001</w:t>
                  </w:r>
                </w:p>
              </w:tc>
              <w:tc>
                <w:tcPr>
                  <w:tcW w:w="129"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193" w:type="pct"/>
                  <w:tcBorders>
                    <w:bottom w:val="single" w:color="auto" w:sz="4" w:space="0"/>
                  </w:tcBorders>
                  <w:vAlign w:val="center"/>
                </w:tcPr>
                <w:p>
                  <w:pPr>
                    <w:pStyle w:val="19"/>
                    <w:spacing w:before="0" w:beforeAutospacing="0" w:after="0" w:afterAutospacing="0"/>
                    <w:jc w:val="center"/>
                    <w:rPr>
                      <w:rFonts w:ascii="Times New Roman" w:hAnsi="Times New Roman" w:cs="Times New Roman"/>
                      <w:color w:val="auto"/>
                      <w:sz w:val="18"/>
                      <w:szCs w:val="18"/>
                      <w:lang w:val="en-US" w:eastAsia="zh-CN"/>
                    </w:rPr>
                  </w:pPr>
                  <w:r>
                    <w:rPr>
                      <w:rFonts w:ascii="Times New Roman" w:hAnsi="Times New Roman" w:cs="Times New Roman"/>
                      <w:color w:val="auto"/>
                      <w:sz w:val="18"/>
                      <w:szCs w:val="18"/>
                      <w:lang w:val="en-US" w:eastAsia="zh-CN"/>
                    </w:rPr>
                    <w:t>118.2573</w:t>
                  </w:r>
                </w:p>
              </w:tc>
              <w:tc>
                <w:tcPr>
                  <w:tcW w:w="215" w:type="pct"/>
                  <w:tcBorders>
                    <w:bottom w:val="single" w:color="auto" w:sz="4" w:space="0"/>
                  </w:tcBorders>
                  <w:vAlign w:val="center"/>
                </w:tcPr>
                <w:p>
                  <w:pPr>
                    <w:pStyle w:val="19"/>
                    <w:spacing w:before="0" w:beforeAutospacing="0" w:after="0" w:afterAutospacing="0"/>
                    <w:jc w:val="center"/>
                    <w:rPr>
                      <w:rFonts w:ascii="Times New Roman" w:hAnsi="Times New Roman" w:cs="Times New Roman"/>
                      <w:color w:val="auto"/>
                      <w:sz w:val="18"/>
                      <w:szCs w:val="18"/>
                      <w:lang w:val="en-US" w:eastAsia="zh-CN"/>
                    </w:rPr>
                  </w:pPr>
                  <w:r>
                    <w:rPr>
                      <w:rFonts w:ascii="Times New Roman" w:hAnsi="Times New Roman" w:cs="Times New Roman"/>
                      <w:color w:val="auto"/>
                      <w:sz w:val="18"/>
                      <w:szCs w:val="18"/>
                      <w:lang w:val="en-US" w:eastAsia="zh-CN"/>
                    </w:rPr>
                    <w:t>29.7852</w:t>
                  </w:r>
                </w:p>
              </w:tc>
              <w:tc>
                <w:tcPr>
                  <w:tcW w:w="269" w:type="pct"/>
                  <w:tcBorders>
                    <w:bottom w:val="single" w:color="auto" w:sz="4" w:space="0"/>
                  </w:tcBorders>
                  <w:vAlign w:val="center"/>
                </w:tcPr>
                <w:p>
                  <w:pPr>
                    <w:autoSpaceDE w:val="0"/>
                    <w:autoSpaceDN w:val="0"/>
                    <w:adjustRightInd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225" w:type="pct"/>
                  <w:tcBorders>
                    <w:bottom w:val="single" w:color="auto" w:sz="4" w:space="0"/>
                  </w:tcBorders>
                  <w:vAlign w:val="center"/>
                </w:tcPr>
                <w:p>
                  <w:pPr>
                    <w:autoSpaceDE w:val="0"/>
                    <w:autoSpaceDN w:val="0"/>
                    <w:adjustRightInd w:val="0"/>
                    <w:jc w:val="center"/>
                    <w:rPr>
                      <w:rFonts w:hint="default" w:eastAsia="宋体"/>
                      <w:color w:val="auto"/>
                      <w:sz w:val="18"/>
                      <w:szCs w:val="18"/>
                      <w:lang w:val="en-US" w:eastAsia="zh-CN"/>
                    </w:rPr>
                  </w:pPr>
                  <w:r>
                    <w:rPr>
                      <w:rFonts w:hint="eastAsia"/>
                      <w:color w:val="auto"/>
                      <w:sz w:val="18"/>
                      <w:szCs w:val="18"/>
                      <w:lang w:val="en-US" w:eastAsia="zh-CN"/>
                    </w:rPr>
                    <w:t>0.26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107" w:type="pct"/>
                  <w:vMerge w:val="continue"/>
                  <w:tcBorders>
                    <w:right w:val="single" w:color="000000" w:sz="6" w:space="0"/>
                  </w:tcBorders>
                  <w:vAlign w:val="center"/>
                </w:tcPr>
                <w:p>
                  <w:pPr>
                    <w:spacing w:line="240" w:lineRule="atLeast"/>
                    <w:jc w:val="center"/>
                    <w:rPr>
                      <w:rFonts w:hint="eastAsia"/>
                      <w:color w:val="auto"/>
                      <w:sz w:val="18"/>
                      <w:szCs w:val="18"/>
                      <w:lang w:val="en-US" w:eastAsia="zh-CN"/>
                    </w:rPr>
                  </w:pPr>
                </w:p>
              </w:tc>
              <w:tc>
                <w:tcPr>
                  <w:tcW w:w="177" w:type="pct"/>
                  <w:vMerge w:val="continue"/>
                  <w:tcBorders>
                    <w:left w:val="single" w:color="000000" w:sz="6" w:space="0"/>
                  </w:tcBorders>
                  <w:vAlign w:val="center"/>
                </w:tcPr>
                <w:p>
                  <w:pPr>
                    <w:autoSpaceDE w:val="0"/>
                    <w:autoSpaceDN w:val="0"/>
                    <w:adjustRightInd w:val="0"/>
                    <w:jc w:val="center"/>
                    <w:rPr>
                      <w:rFonts w:hint="eastAsia"/>
                      <w:color w:val="auto"/>
                      <w:sz w:val="18"/>
                      <w:szCs w:val="18"/>
                      <w:lang w:val="en-US" w:eastAsia="zh-CN"/>
                    </w:rPr>
                  </w:pPr>
                </w:p>
              </w:tc>
              <w:tc>
                <w:tcPr>
                  <w:tcW w:w="277"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0.00003</w:t>
                  </w:r>
                </w:p>
              </w:tc>
              <w:tc>
                <w:tcPr>
                  <w:tcW w:w="310"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0.00005</w:t>
                  </w:r>
                </w:p>
              </w:tc>
              <w:tc>
                <w:tcPr>
                  <w:tcW w:w="354"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w:t>
                  </w:r>
                </w:p>
              </w:tc>
              <w:tc>
                <w:tcPr>
                  <w:tcW w:w="164"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251"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160" w:type="pct"/>
                  <w:tcBorders>
                    <w:top w:val="single" w:color="auto" w:sz="4" w:space="0"/>
                  </w:tcBorders>
                  <w:vAlign w:val="center"/>
                </w:tcPr>
                <w:p>
                  <w:pPr>
                    <w:spacing w:line="240" w:lineRule="atLeast"/>
                    <w:jc w:val="center"/>
                    <w:rPr>
                      <w:color w:val="auto"/>
                      <w:sz w:val="18"/>
                      <w:szCs w:val="18"/>
                    </w:rPr>
                  </w:pPr>
                </w:p>
              </w:tc>
              <w:tc>
                <w:tcPr>
                  <w:tcW w:w="176" w:type="pct"/>
                  <w:tcBorders>
                    <w:top w:val="single" w:color="auto" w:sz="4" w:space="0"/>
                  </w:tcBorders>
                  <w:vAlign w:val="center"/>
                </w:tcPr>
                <w:p>
                  <w:pPr>
                    <w:spacing w:line="240" w:lineRule="atLeast"/>
                    <w:jc w:val="center"/>
                    <w:rPr>
                      <w:color w:val="auto"/>
                      <w:sz w:val="18"/>
                      <w:szCs w:val="18"/>
                    </w:rPr>
                  </w:pPr>
                </w:p>
              </w:tc>
              <w:tc>
                <w:tcPr>
                  <w:tcW w:w="239"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13"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75"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0.00003</w:t>
                  </w:r>
                </w:p>
              </w:tc>
              <w:tc>
                <w:tcPr>
                  <w:tcW w:w="245"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0.00005</w:t>
                  </w:r>
                </w:p>
              </w:tc>
              <w:tc>
                <w:tcPr>
                  <w:tcW w:w="238" w:type="pct"/>
                  <w:tcBorders>
                    <w:top w:val="single" w:color="auto" w:sz="4" w:space="0"/>
                  </w:tcBorders>
                  <w:vAlign w:val="center"/>
                </w:tcPr>
                <w:p>
                  <w:pPr>
                    <w:autoSpaceDE w:val="0"/>
                    <w:autoSpaceDN w:val="0"/>
                    <w:adjustRightIn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224"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12"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30"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08"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29"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93" w:type="pct"/>
                  <w:tcBorders>
                    <w:top w:val="single" w:color="auto" w:sz="4" w:space="0"/>
                  </w:tcBorders>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15" w:type="pct"/>
                  <w:tcBorders>
                    <w:top w:val="single" w:color="auto" w:sz="4" w:space="0"/>
                  </w:tcBorders>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69" w:type="pct"/>
                  <w:tcBorders>
                    <w:top w:val="single" w:color="auto" w:sz="4" w:space="0"/>
                  </w:tcBorders>
                  <w:vAlign w:val="center"/>
                </w:tcPr>
                <w:p>
                  <w:pPr>
                    <w:autoSpaceDE w:val="0"/>
                    <w:autoSpaceDN w:val="0"/>
                    <w:adjustRightIn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25" w:type="pct"/>
                  <w:tcBorders>
                    <w:top w:val="single" w:color="auto" w:sz="4" w:space="0"/>
                  </w:tcBorders>
                  <w:vAlign w:val="center"/>
                </w:tcPr>
                <w:p>
                  <w:pPr>
                    <w:autoSpaceDE w:val="0"/>
                    <w:autoSpaceDN w:val="0"/>
                    <w:adjustRightIn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5" w:hRule="atLeast"/>
                <w:jc w:val="center"/>
              </w:trPr>
              <w:tc>
                <w:tcPr>
                  <w:tcW w:w="107" w:type="pct"/>
                  <w:vMerge w:val="continue"/>
                  <w:tcBorders>
                    <w:right w:val="single" w:color="000000" w:sz="6" w:space="0"/>
                  </w:tcBorders>
                  <w:vAlign w:val="center"/>
                </w:tcPr>
                <w:p>
                  <w:pPr>
                    <w:spacing w:line="240" w:lineRule="atLeast"/>
                    <w:jc w:val="center"/>
                    <w:rPr>
                      <w:rFonts w:hint="eastAsia"/>
                      <w:color w:val="auto"/>
                      <w:sz w:val="18"/>
                      <w:szCs w:val="18"/>
                      <w:lang w:val="en-US" w:eastAsia="zh-CN"/>
                    </w:rPr>
                  </w:pPr>
                </w:p>
              </w:tc>
              <w:tc>
                <w:tcPr>
                  <w:tcW w:w="177" w:type="pct"/>
                  <w:vMerge w:val="restart"/>
                  <w:tcBorders>
                    <w:left w:val="single" w:color="000000" w:sz="6" w:space="0"/>
                  </w:tcBorders>
                  <w:vAlign w:val="center"/>
                </w:tcPr>
                <w:p>
                  <w:pPr>
                    <w:autoSpaceDE w:val="0"/>
                    <w:autoSpaceDN w:val="0"/>
                    <w:adjustRightInd w:val="0"/>
                    <w:jc w:val="center"/>
                    <w:rPr>
                      <w:rFonts w:hint="default"/>
                      <w:color w:val="auto"/>
                      <w:sz w:val="18"/>
                      <w:szCs w:val="18"/>
                      <w:lang w:val="en-US" w:eastAsia="zh-CN"/>
                    </w:rPr>
                  </w:pPr>
                  <w:r>
                    <w:rPr>
                      <w:rFonts w:hint="eastAsia"/>
                      <w:color w:val="auto"/>
                      <w:sz w:val="18"/>
                      <w:szCs w:val="18"/>
                      <w:lang w:val="en-US" w:eastAsia="zh-CN"/>
                    </w:rPr>
                    <w:t>硫酸雾</w:t>
                  </w:r>
                </w:p>
              </w:tc>
              <w:tc>
                <w:tcPr>
                  <w:tcW w:w="277"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0.000085</w:t>
                  </w:r>
                </w:p>
              </w:tc>
              <w:tc>
                <w:tcPr>
                  <w:tcW w:w="310"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0.00014</w:t>
                  </w:r>
                </w:p>
              </w:tc>
              <w:tc>
                <w:tcPr>
                  <w:tcW w:w="354"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0.14</w:t>
                  </w:r>
                </w:p>
              </w:tc>
              <w:tc>
                <w:tcPr>
                  <w:tcW w:w="164"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有组织</w:t>
                  </w:r>
                </w:p>
              </w:tc>
              <w:tc>
                <w:tcPr>
                  <w:tcW w:w="251" w:type="pct"/>
                  <w:tcBorders>
                    <w:bottom w:val="single" w:color="auto" w:sz="4" w:space="0"/>
                  </w:tcBorders>
                  <w:vAlign w:val="center"/>
                </w:tcPr>
                <w:p>
                  <w:pPr>
                    <w:spacing w:line="240" w:lineRule="atLeast"/>
                    <w:jc w:val="center"/>
                    <w:rPr>
                      <w:color w:val="auto"/>
                      <w:sz w:val="18"/>
                      <w:szCs w:val="18"/>
                    </w:rPr>
                  </w:pPr>
                  <w:r>
                    <w:rPr>
                      <w:rFonts w:hint="eastAsia"/>
                      <w:color w:val="auto"/>
                      <w:sz w:val="18"/>
                      <w:szCs w:val="18"/>
                      <w:lang w:val="en-US" w:eastAsia="zh-CN"/>
                    </w:rPr>
                    <w:t>通风橱收集+15m高排气筒排放</w:t>
                  </w:r>
                </w:p>
              </w:tc>
              <w:tc>
                <w:tcPr>
                  <w:tcW w:w="160"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lang w:val="en-US" w:eastAsia="zh-CN"/>
                    </w:rPr>
                    <w:t>/</w:t>
                  </w:r>
                </w:p>
              </w:tc>
              <w:tc>
                <w:tcPr>
                  <w:tcW w:w="176"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85%</w:t>
                  </w:r>
                </w:p>
              </w:tc>
              <w:tc>
                <w:tcPr>
                  <w:tcW w:w="239"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13" w:type="pct"/>
                  <w:tcBorders>
                    <w:bottom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75"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0.000085</w:t>
                  </w:r>
                </w:p>
              </w:tc>
              <w:tc>
                <w:tcPr>
                  <w:tcW w:w="245"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0.00014</w:t>
                  </w:r>
                </w:p>
              </w:tc>
              <w:tc>
                <w:tcPr>
                  <w:tcW w:w="238" w:type="pct"/>
                  <w:tcBorders>
                    <w:bottom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0.14</w:t>
                  </w:r>
                </w:p>
              </w:tc>
              <w:tc>
                <w:tcPr>
                  <w:tcW w:w="224"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15</w:t>
                  </w:r>
                </w:p>
              </w:tc>
              <w:tc>
                <w:tcPr>
                  <w:tcW w:w="212"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0.3</w:t>
                  </w:r>
                </w:p>
              </w:tc>
              <w:tc>
                <w:tcPr>
                  <w:tcW w:w="230"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25</w:t>
                  </w:r>
                </w:p>
              </w:tc>
              <w:tc>
                <w:tcPr>
                  <w:tcW w:w="108" w:type="pct"/>
                  <w:tcBorders>
                    <w:bottom w:val="single" w:color="auto" w:sz="4" w:space="0"/>
                  </w:tcBorders>
                  <w:vAlign w:val="center"/>
                </w:tcPr>
                <w:p>
                  <w:pPr>
                    <w:spacing w:line="240" w:lineRule="atLeast"/>
                    <w:jc w:val="center"/>
                    <w:rPr>
                      <w:rFonts w:hint="default" w:eastAsia="宋体"/>
                      <w:color w:val="auto"/>
                      <w:sz w:val="18"/>
                      <w:szCs w:val="18"/>
                      <w:lang w:val="en-US" w:eastAsia="zh-CN"/>
                    </w:rPr>
                  </w:pPr>
                  <w:r>
                    <w:rPr>
                      <w:rFonts w:hint="eastAsia"/>
                      <w:color w:val="auto"/>
                      <w:sz w:val="18"/>
                      <w:szCs w:val="18"/>
                      <w:lang w:val="en-US" w:eastAsia="zh-CN"/>
                    </w:rPr>
                    <w:t>DA001</w:t>
                  </w:r>
                </w:p>
              </w:tc>
              <w:tc>
                <w:tcPr>
                  <w:tcW w:w="129" w:type="pct"/>
                  <w:tcBorders>
                    <w:bottom w:val="single" w:color="auto" w:sz="4" w:space="0"/>
                  </w:tcBorders>
                  <w:vAlign w:val="center"/>
                </w:tcPr>
                <w:p>
                  <w:pPr>
                    <w:spacing w:line="240" w:lineRule="atLeast"/>
                    <w:jc w:val="center"/>
                    <w:rPr>
                      <w:color w:val="auto"/>
                      <w:sz w:val="18"/>
                      <w:szCs w:val="18"/>
                    </w:rPr>
                  </w:pPr>
                </w:p>
              </w:tc>
              <w:tc>
                <w:tcPr>
                  <w:tcW w:w="193" w:type="pct"/>
                  <w:tcBorders>
                    <w:bottom w:val="single" w:color="auto" w:sz="4" w:space="0"/>
                  </w:tcBorders>
                  <w:vAlign w:val="center"/>
                </w:tcPr>
                <w:p>
                  <w:pPr>
                    <w:pStyle w:val="19"/>
                    <w:spacing w:before="0" w:beforeAutospacing="0" w:after="0" w:afterAutospacing="0"/>
                    <w:jc w:val="center"/>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lang w:val="en-US" w:eastAsia="zh-CN"/>
                    </w:rPr>
                    <w:t>118.2573</w:t>
                  </w:r>
                </w:p>
              </w:tc>
              <w:tc>
                <w:tcPr>
                  <w:tcW w:w="215" w:type="pct"/>
                  <w:tcBorders>
                    <w:bottom w:val="single" w:color="auto" w:sz="4" w:space="0"/>
                  </w:tcBorders>
                  <w:vAlign w:val="center"/>
                </w:tcPr>
                <w:p>
                  <w:pPr>
                    <w:pStyle w:val="19"/>
                    <w:spacing w:before="0" w:beforeAutospacing="0" w:after="0" w:afterAutospacing="0"/>
                    <w:jc w:val="center"/>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z w:val="18"/>
                      <w:szCs w:val="18"/>
                      <w:lang w:val="en-US" w:eastAsia="zh-CN"/>
                    </w:rPr>
                    <w:t>29.7852</w:t>
                  </w:r>
                </w:p>
              </w:tc>
              <w:tc>
                <w:tcPr>
                  <w:tcW w:w="269" w:type="pct"/>
                  <w:tcBorders>
                    <w:bottom w:val="single" w:color="auto" w:sz="4" w:space="0"/>
                  </w:tcBorders>
                  <w:vAlign w:val="center"/>
                </w:tcPr>
                <w:p>
                  <w:pPr>
                    <w:autoSpaceDE w:val="0"/>
                    <w:autoSpaceDN w:val="0"/>
                    <w:adjustRightInd w:val="0"/>
                    <w:jc w:val="center"/>
                    <w:rPr>
                      <w:rFonts w:hint="default" w:eastAsia="宋体"/>
                      <w:color w:val="auto"/>
                      <w:sz w:val="18"/>
                      <w:szCs w:val="18"/>
                      <w:lang w:val="en-US" w:eastAsia="zh-CN"/>
                    </w:rPr>
                  </w:pPr>
                  <w:r>
                    <w:rPr>
                      <w:rFonts w:hint="eastAsia"/>
                      <w:color w:val="auto"/>
                      <w:sz w:val="18"/>
                      <w:szCs w:val="18"/>
                      <w:lang w:val="en-US" w:eastAsia="zh-CN"/>
                    </w:rPr>
                    <w:t>45</w:t>
                  </w:r>
                </w:p>
              </w:tc>
              <w:tc>
                <w:tcPr>
                  <w:tcW w:w="225" w:type="pct"/>
                  <w:tcBorders>
                    <w:bottom w:val="single" w:color="auto" w:sz="4" w:space="0"/>
                  </w:tcBorders>
                  <w:vAlign w:val="center"/>
                </w:tcPr>
                <w:p>
                  <w:pPr>
                    <w:autoSpaceDE w:val="0"/>
                    <w:autoSpaceDN w:val="0"/>
                    <w:adjustRightInd w:val="0"/>
                    <w:jc w:val="center"/>
                    <w:rPr>
                      <w:rFonts w:hint="default" w:eastAsia="宋体"/>
                      <w:color w:val="auto"/>
                      <w:sz w:val="18"/>
                      <w:szCs w:val="18"/>
                      <w:lang w:val="en-US" w:eastAsia="zh-CN"/>
                    </w:rPr>
                  </w:pPr>
                  <w:r>
                    <w:rPr>
                      <w:rFonts w:hint="eastAsia"/>
                      <w:color w:val="auto"/>
                      <w:sz w:val="18"/>
                      <w:szCs w:val="18"/>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6" w:hRule="atLeast"/>
                <w:jc w:val="center"/>
              </w:trPr>
              <w:tc>
                <w:tcPr>
                  <w:tcW w:w="107" w:type="pct"/>
                  <w:vMerge w:val="continue"/>
                  <w:tcBorders>
                    <w:right w:val="single" w:color="000000" w:sz="6" w:space="0"/>
                  </w:tcBorders>
                  <w:vAlign w:val="center"/>
                </w:tcPr>
                <w:p>
                  <w:pPr>
                    <w:spacing w:line="240" w:lineRule="atLeast"/>
                    <w:jc w:val="center"/>
                    <w:rPr>
                      <w:rFonts w:hint="eastAsia"/>
                      <w:color w:val="auto"/>
                      <w:sz w:val="18"/>
                      <w:szCs w:val="18"/>
                      <w:lang w:val="en-US" w:eastAsia="zh-CN"/>
                    </w:rPr>
                  </w:pPr>
                </w:p>
              </w:tc>
              <w:tc>
                <w:tcPr>
                  <w:tcW w:w="177" w:type="pct"/>
                  <w:vMerge w:val="continue"/>
                  <w:tcBorders>
                    <w:left w:val="single" w:color="000000" w:sz="6" w:space="0"/>
                  </w:tcBorders>
                  <w:vAlign w:val="center"/>
                </w:tcPr>
                <w:p>
                  <w:pPr>
                    <w:autoSpaceDE w:val="0"/>
                    <w:autoSpaceDN w:val="0"/>
                    <w:adjustRightInd w:val="0"/>
                    <w:jc w:val="center"/>
                    <w:rPr>
                      <w:rFonts w:hint="eastAsia"/>
                      <w:color w:val="auto"/>
                      <w:sz w:val="18"/>
                      <w:szCs w:val="18"/>
                      <w:lang w:val="en-US" w:eastAsia="zh-CN"/>
                    </w:rPr>
                  </w:pPr>
                </w:p>
              </w:tc>
              <w:tc>
                <w:tcPr>
                  <w:tcW w:w="277"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0.000015</w:t>
                  </w:r>
                </w:p>
              </w:tc>
              <w:tc>
                <w:tcPr>
                  <w:tcW w:w="310"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0.00003</w:t>
                  </w:r>
                </w:p>
              </w:tc>
              <w:tc>
                <w:tcPr>
                  <w:tcW w:w="354"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w:t>
                  </w:r>
                </w:p>
              </w:tc>
              <w:tc>
                <w:tcPr>
                  <w:tcW w:w="164"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251"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160" w:type="pct"/>
                  <w:tcBorders>
                    <w:top w:val="single" w:color="auto" w:sz="4" w:space="0"/>
                  </w:tcBorders>
                  <w:vAlign w:val="center"/>
                </w:tcPr>
                <w:p>
                  <w:pPr>
                    <w:spacing w:line="240" w:lineRule="atLeast"/>
                    <w:jc w:val="center"/>
                    <w:rPr>
                      <w:color w:val="auto"/>
                      <w:sz w:val="18"/>
                      <w:szCs w:val="18"/>
                    </w:rPr>
                  </w:pPr>
                </w:p>
              </w:tc>
              <w:tc>
                <w:tcPr>
                  <w:tcW w:w="176" w:type="pct"/>
                  <w:tcBorders>
                    <w:top w:val="single" w:color="auto" w:sz="4" w:space="0"/>
                  </w:tcBorders>
                  <w:vAlign w:val="center"/>
                </w:tcPr>
                <w:p>
                  <w:pPr>
                    <w:spacing w:line="240" w:lineRule="atLeast"/>
                    <w:jc w:val="center"/>
                    <w:rPr>
                      <w:color w:val="auto"/>
                      <w:sz w:val="18"/>
                      <w:szCs w:val="18"/>
                    </w:rPr>
                  </w:pPr>
                </w:p>
              </w:tc>
              <w:tc>
                <w:tcPr>
                  <w:tcW w:w="239"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13" w:type="pct"/>
                  <w:tcBorders>
                    <w:top w:val="single" w:color="auto" w:sz="4" w:space="0"/>
                  </w:tcBorders>
                  <w:vAlign w:val="center"/>
                </w:tcPr>
                <w:p>
                  <w:pPr>
                    <w:spacing w:line="240" w:lineRule="atLeast"/>
                    <w:jc w:val="center"/>
                    <w:rPr>
                      <w:rFonts w:hint="eastAsia" w:eastAsia="宋体"/>
                      <w:color w:val="auto"/>
                      <w:sz w:val="18"/>
                      <w:szCs w:val="18"/>
                      <w:lang w:val="en-US" w:eastAsia="zh-CN"/>
                    </w:rPr>
                  </w:pPr>
                  <w:r>
                    <w:rPr>
                      <w:rFonts w:hint="eastAsia"/>
                      <w:color w:val="auto"/>
                      <w:sz w:val="18"/>
                      <w:szCs w:val="18"/>
                      <w:lang w:val="en-US" w:eastAsia="zh-CN"/>
                    </w:rPr>
                    <w:t>/</w:t>
                  </w:r>
                </w:p>
              </w:tc>
              <w:tc>
                <w:tcPr>
                  <w:tcW w:w="275"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0.000015</w:t>
                  </w:r>
                </w:p>
              </w:tc>
              <w:tc>
                <w:tcPr>
                  <w:tcW w:w="245" w:type="pct"/>
                  <w:tcBorders>
                    <w:top w:val="single" w:color="auto" w:sz="4" w:space="0"/>
                  </w:tcBorders>
                  <w:vAlign w:val="center"/>
                </w:tcPr>
                <w:p>
                  <w:pPr>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0.00003</w:t>
                  </w:r>
                </w:p>
              </w:tc>
              <w:tc>
                <w:tcPr>
                  <w:tcW w:w="238" w:type="pct"/>
                  <w:tcBorders>
                    <w:top w:val="single" w:color="auto" w:sz="4" w:space="0"/>
                  </w:tcBorders>
                  <w:vAlign w:val="center"/>
                </w:tcPr>
                <w:p>
                  <w:pPr>
                    <w:autoSpaceDE w:val="0"/>
                    <w:autoSpaceDN w:val="0"/>
                    <w:adjustRightIn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224"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12"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30"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08"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29" w:type="pct"/>
                  <w:tcBorders>
                    <w:top w:val="single" w:color="auto" w:sz="4" w:space="0"/>
                  </w:tcBorders>
                  <w:vAlign w:val="center"/>
                </w:tcPr>
                <w:p>
                  <w:pPr>
                    <w:spacing w:line="240" w:lineRule="atLeast"/>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193" w:type="pct"/>
                  <w:tcBorders>
                    <w:top w:val="single" w:color="auto" w:sz="4" w:space="0"/>
                  </w:tcBorders>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15" w:type="pct"/>
                  <w:tcBorders>
                    <w:top w:val="single" w:color="auto" w:sz="4" w:space="0"/>
                  </w:tcBorders>
                  <w:vAlign w:val="center"/>
                </w:tcPr>
                <w:p>
                  <w:pPr>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69" w:type="pct"/>
                  <w:tcBorders>
                    <w:top w:val="single" w:color="auto" w:sz="4" w:space="0"/>
                  </w:tcBorders>
                  <w:vAlign w:val="center"/>
                </w:tcPr>
                <w:p>
                  <w:pPr>
                    <w:autoSpaceDE w:val="0"/>
                    <w:autoSpaceDN w:val="0"/>
                    <w:adjustRightIn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c>
                <w:tcPr>
                  <w:tcW w:w="225" w:type="pct"/>
                  <w:tcBorders>
                    <w:top w:val="single" w:color="auto" w:sz="4" w:space="0"/>
                  </w:tcBorders>
                  <w:vAlign w:val="center"/>
                </w:tcPr>
                <w:p>
                  <w:pPr>
                    <w:autoSpaceDE w:val="0"/>
                    <w:autoSpaceDN w:val="0"/>
                    <w:adjustRightInd w:val="0"/>
                    <w:jc w:val="center"/>
                    <w:rPr>
                      <w:rFonts w:ascii="Times New Roman" w:hAnsi="Times New Roman" w:eastAsia="宋体" w:cs="Times New Roman"/>
                      <w:color w:val="auto"/>
                      <w:kern w:val="2"/>
                      <w:sz w:val="18"/>
                      <w:szCs w:val="18"/>
                      <w:lang w:val="en-US" w:eastAsia="zh-CN" w:bidi="ar-SA"/>
                    </w:rPr>
                  </w:pPr>
                  <w:r>
                    <w:rPr>
                      <w:color w:val="auto"/>
                      <w:sz w:val="18"/>
                      <w:szCs w:val="18"/>
                    </w:rPr>
                    <w:t>/</w:t>
                  </w:r>
                </w:p>
              </w:tc>
            </w:tr>
          </w:tbl>
          <w:p>
            <w:pPr>
              <w:pStyle w:val="2"/>
              <w:ind w:firstLine="0" w:firstLineChars="0"/>
              <w:jc w:val="both"/>
              <w:rPr>
                <w:lang w:val="en-US" w:eastAsia="zh-CN"/>
              </w:rPr>
            </w:pPr>
          </w:p>
        </w:tc>
      </w:tr>
    </w:tbl>
    <w:p>
      <w:pPr>
        <w:adjustRightInd w:val="0"/>
        <w:snapToGrid w:val="0"/>
        <w:spacing w:line="360" w:lineRule="auto"/>
        <w:rPr>
          <w:rFonts w:ascii="宋体" w:cs="宋体"/>
          <w:b/>
          <w:kern w:val="0"/>
          <w:sz w:val="28"/>
          <w:szCs w:val="28"/>
        </w:rPr>
        <w:sectPr>
          <w:pgSz w:w="16840" w:h="11907"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tbl>
      <w:tblPr>
        <w:tblStyle w:val="21"/>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8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5" w:hRule="atLeast"/>
          <w:jc w:val="center"/>
        </w:trPr>
        <w:tc>
          <w:tcPr>
            <w:tcW w:w="433" w:type="dxa"/>
            <w:tcMar>
              <w:left w:w="28" w:type="dxa"/>
              <w:right w:w="28" w:type="dxa"/>
            </w:tcMar>
            <w:vAlign w:val="center"/>
          </w:tcPr>
          <w:p>
            <w:pPr>
              <w:adjustRightInd w:val="0"/>
              <w:snapToGrid w:val="0"/>
              <w:jc w:val="center"/>
              <w:rPr>
                <w:rFonts w:ascii="宋体" w:hAnsi="宋体" w:cs="宋体"/>
                <w:bCs/>
                <w:szCs w:val="21"/>
              </w:rPr>
            </w:pPr>
          </w:p>
          <w:p>
            <w:pPr>
              <w:adjustRightInd w:val="0"/>
              <w:snapToGrid w:val="0"/>
              <w:jc w:val="center"/>
              <w:rPr>
                <w:rFonts w:ascii="宋体" w:hAnsi="宋体" w:cs="宋体"/>
                <w:bCs/>
                <w:szCs w:val="21"/>
              </w:rPr>
            </w:pPr>
          </w:p>
        </w:tc>
        <w:tc>
          <w:tcPr>
            <w:tcW w:w="8547" w:type="dxa"/>
            <w:vAlign w:val="center"/>
          </w:tcPr>
          <w:p>
            <w:pPr>
              <w:pStyle w:val="8"/>
              <w:spacing w:line="480" w:lineRule="exact"/>
              <w:ind w:firstLine="0" w:firstLineChars="0"/>
              <w:rPr>
                <w:b/>
                <w:bCs/>
                <w:sz w:val="24"/>
              </w:rPr>
            </w:pPr>
            <w:r>
              <w:rPr>
                <w:b/>
                <w:bCs/>
                <w:sz w:val="24"/>
              </w:rPr>
              <w:t>废气源强核算过程：</w:t>
            </w:r>
          </w:p>
          <w:p>
            <w:pPr>
              <w:pStyle w:val="2"/>
              <w:keepNext w:val="0"/>
              <w:keepLines w:val="0"/>
              <w:pageBreakBefore w:val="0"/>
              <w:numPr>
                <w:ilvl w:val="0"/>
                <w:numId w:val="7"/>
              </w:numPr>
              <w:kinsoku/>
              <w:wordWrap/>
              <w:overflowPunct/>
              <w:topLinePunct w:val="0"/>
              <w:autoSpaceDE/>
              <w:autoSpaceDN/>
              <w:bidi w:val="0"/>
              <w:adjustRightInd/>
              <w:spacing w:line="360" w:lineRule="auto"/>
              <w:ind w:firstLine="480"/>
              <w:textAlignment w:val="auto"/>
              <w:rPr>
                <w:lang w:val="zh-CN" w:eastAsia="zh-CN"/>
              </w:rPr>
            </w:pPr>
            <w:r>
              <w:rPr>
                <w:rFonts w:hint="eastAsia"/>
                <w:lang w:val="en-US" w:eastAsia="zh-CN"/>
              </w:rPr>
              <w:t>餐饮油烟</w:t>
            </w:r>
          </w:p>
          <w:p>
            <w:pPr>
              <w:pStyle w:val="2"/>
              <w:keepNext w:val="0"/>
              <w:keepLines w:val="0"/>
              <w:pageBreakBefore w:val="0"/>
              <w:kinsoku/>
              <w:wordWrap/>
              <w:overflowPunct/>
              <w:topLinePunct w:val="0"/>
              <w:autoSpaceDE/>
              <w:autoSpaceDN/>
              <w:bidi w:val="0"/>
              <w:adjustRightInd/>
              <w:spacing w:line="360" w:lineRule="auto"/>
              <w:ind w:firstLine="480"/>
              <w:textAlignment w:val="auto"/>
              <w:rPr>
                <w:color w:val="auto"/>
                <w:lang w:val="en-US" w:eastAsia="zh-CN"/>
              </w:rPr>
            </w:pPr>
            <w:r>
              <w:rPr>
                <w:lang w:val="en-US" w:eastAsia="zh-CN"/>
              </w:rPr>
              <w:t>根据中国营养学会推荐每人每天的标准食用油量0.025kg计，</w:t>
            </w:r>
            <w:r>
              <w:rPr>
                <w:rFonts w:hint="eastAsia"/>
                <w:lang w:val="en-US" w:eastAsia="zh-CN"/>
              </w:rPr>
              <w:t>项目实际就餐人数约900人，拟建项目建设后食用油消耗量为22.5kg/d，</w:t>
            </w:r>
            <w:r>
              <w:rPr>
                <w:lang w:val="en-US" w:eastAsia="zh-CN"/>
              </w:rPr>
              <w:t>食堂菜肴以蒸炒煮为主，根据类比调查，在炒菜过程中，食用油的挥发率为2%～4%，取平均值3%</w:t>
            </w:r>
            <w:r>
              <w:rPr>
                <w:rFonts w:hint="eastAsia"/>
                <w:lang w:val="en-US" w:eastAsia="zh-CN"/>
              </w:rPr>
              <w:t>，拟建项目日产生</w:t>
            </w:r>
            <w:r>
              <w:rPr>
                <w:rFonts w:hint="eastAsia"/>
                <w:color w:val="auto"/>
                <w:lang w:val="en-US" w:eastAsia="zh-CN"/>
              </w:rPr>
              <w:t>油烟量为0.675kg，年运营时间为300天，因此油烟产生量为0.2025t/a。按日高峰期8小时计，则高峰期该项目所排油烟的排放速率为0.0844kg/h，油烟的产生浓度为0.844mg/m</w:t>
            </w:r>
            <w:r>
              <w:rPr>
                <w:rFonts w:hint="eastAsia"/>
                <w:color w:val="auto"/>
                <w:vertAlign w:val="superscript"/>
                <w:lang w:val="en-US" w:eastAsia="zh-CN"/>
              </w:rPr>
              <w:t>3</w:t>
            </w:r>
            <w:r>
              <w:rPr>
                <w:rFonts w:hint="eastAsia"/>
                <w:color w:val="auto"/>
                <w:lang w:val="en-US" w:eastAsia="zh-CN"/>
              </w:rPr>
              <w:t>（总风量按1万m</w:t>
            </w:r>
            <w:r>
              <w:rPr>
                <w:rFonts w:hint="eastAsia"/>
                <w:color w:val="auto"/>
                <w:vertAlign w:val="superscript"/>
                <w:lang w:val="en-US" w:eastAsia="zh-CN"/>
              </w:rPr>
              <w:t>3</w:t>
            </w:r>
            <w:r>
              <w:rPr>
                <w:rFonts w:hint="eastAsia"/>
                <w:color w:val="auto"/>
                <w:lang w:val="en-US" w:eastAsia="zh-CN"/>
              </w:rPr>
              <w:t>/h）。餐饮油烟经过油烟净化器处理，收集效率达90%以上，去除效率7</w:t>
            </w:r>
            <w:r>
              <w:rPr>
                <w:color w:val="auto"/>
                <w:lang w:val="en-US" w:eastAsia="zh-CN"/>
              </w:rPr>
              <w:t>5</w:t>
            </w:r>
            <w:r>
              <w:rPr>
                <w:rFonts w:hint="eastAsia"/>
                <w:color w:val="auto"/>
                <w:lang w:val="en-US" w:eastAsia="zh-CN"/>
              </w:rPr>
              <w:t>%，处理后的油烟经排气筒排放量为0.01898kg/h即0.0456t/a，油烟排放浓度为1.8984mg/m</w:t>
            </w:r>
            <w:r>
              <w:rPr>
                <w:rFonts w:hint="eastAsia"/>
                <w:color w:val="auto"/>
                <w:vertAlign w:val="superscript"/>
                <w:lang w:val="en-US" w:eastAsia="zh-CN"/>
              </w:rPr>
              <w:t>3</w:t>
            </w:r>
            <w:r>
              <w:rPr>
                <w:rFonts w:hint="eastAsia"/>
                <w:color w:val="auto"/>
                <w:lang w:val="en-US" w:eastAsia="zh-CN"/>
              </w:rPr>
              <w:t>，</w:t>
            </w:r>
            <w:r>
              <w:rPr>
                <w:color w:val="auto"/>
                <w:lang w:val="en-US" w:eastAsia="zh-CN"/>
              </w:rPr>
              <w:t>处理后的油烟经排气筒</w:t>
            </w:r>
            <w:r>
              <w:rPr>
                <w:rFonts w:hint="eastAsia"/>
                <w:color w:val="auto"/>
                <w:lang w:val="en-US" w:eastAsia="zh-CN"/>
              </w:rPr>
              <w:t>高于屋顶</w:t>
            </w:r>
            <w:r>
              <w:rPr>
                <w:color w:val="auto"/>
                <w:lang w:val="en-US" w:eastAsia="zh-CN"/>
              </w:rPr>
              <w:t>排放</w:t>
            </w:r>
            <w:r>
              <w:rPr>
                <w:rFonts w:hint="eastAsia"/>
                <w:color w:val="auto"/>
                <w:lang w:val="en-US" w:eastAsia="zh-CN"/>
              </w:rPr>
              <w:t>。</w:t>
            </w:r>
          </w:p>
          <w:p>
            <w:pPr>
              <w:pStyle w:val="2"/>
              <w:ind w:firstLine="480"/>
              <w:rPr>
                <w:color w:val="auto"/>
                <w:lang w:val="en-US" w:eastAsia="zh-CN"/>
              </w:rPr>
            </w:pPr>
            <w:r>
              <w:rPr>
                <w:rFonts w:hint="eastAsia"/>
                <w:color w:val="auto"/>
                <w:lang w:val="en-US" w:eastAsia="zh-CN"/>
              </w:rPr>
              <w:t>经计算，该项目年食用油消耗量为6.75t/a，油烟产生量为0.2025t/a，油烟削减量为0.1367t/a，产生浓度为0.844mg/m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有组织产生量为0.183t/a，产生速率为0.0759kg/h，有组织排放量为0.0456t/a、排放浓度为1.8984mg/m</w:t>
            </w:r>
            <w:r>
              <w:rPr>
                <w:rFonts w:hint="eastAsia"/>
                <w:color w:val="auto"/>
                <w:vertAlign w:val="superscript"/>
                <w:lang w:val="en-US" w:eastAsia="zh-CN"/>
              </w:rPr>
              <w:t>3</w:t>
            </w:r>
            <w:r>
              <w:rPr>
                <w:rFonts w:hint="eastAsia"/>
                <w:color w:val="auto"/>
                <w:lang w:val="en-US" w:eastAsia="zh-CN"/>
              </w:rPr>
              <w:t>、排放速率为0.01898kg</w:t>
            </w:r>
            <w:r>
              <w:rPr>
                <w:color w:val="auto"/>
                <w:lang w:val="en-US" w:eastAsia="zh-CN"/>
              </w:rPr>
              <w:t>/</w:t>
            </w:r>
            <w:r>
              <w:rPr>
                <w:rFonts w:hint="eastAsia"/>
                <w:color w:val="auto"/>
                <w:lang w:val="en-US" w:eastAsia="zh-CN"/>
              </w:rPr>
              <w:t>h，无组织排放量为0</w:t>
            </w:r>
            <w:r>
              <w:rPr>
                <w:color w:val="auto"/>
                <w:lang w:val="en-US" w:eastAsia="zh-CN"/>
              </w:rPr>
              <w:t>.0</w:t>
            </w:r>
            <w:r>
              <w:rPr>
                <w:rFonts w:hint="eastAsia"/>
                <w:color w:val="auto"/>
                <w:lang w:val="en-US" w:eastAsia="zh-CN"/>
              </w:rPr>
              <w:t>203t/</w:t>
            </w:r>
            <w:r>
              <w:rPr>
                <w:color w:val="auto"/>
                <w:lang w:val="en-US" w:eastAsia="zh-CN"/>
              </w:rPr>
              <w:t>a</w:t>
            </w:r>
            <w:r>
              <w:rPr>
                <w:rFonts w:hint="eastAsia"/>
                <w:color w:val="auto"/>
                <w:lang w:val="en-US" w:eastAsia="zh-CN"/>
              </w:rPr>
              <w:t>、排放速率为0</w:t>
            </w:r>
            <w:r>
              <w:rPr>
                <w:color w:val="auto"/>
                <w:lang w:val="en-US" w:eastAsia="zh-CN"/>
              </w:rPr>
              <w:t>.</w:t>
            </w:r>
            <w:r>
              <w:rPr>
                <w:rFonts w:hint="eastAsia"/>
                <w:color w:val="auto"/>
                <w:lang w:val="en-US" w:eastAsia="zh-CN"/>
              </w:rPr>
              <w:t>0085kg</w:t>
            </w:r>
            <w:r>
              <w:rPr>
                <w:color w:val="auto"/>
                <w:lang w:val="en-US" w:eastAsia="zh-CN"/>
              </w:rPr>
              <w:t>/</w:t>
            </w:r>
            <w:r>
              <w:rPr>
                <w:rFonts w:hint="eastAsia"/>
                <w:color w:val="auto"/>
                <w:lang w:val="en-US" w:eastAsia="zh-CN"/>
              </w:rPr>
              <w:t>h，满足《饮食业油烟排放标准（试行）》（GB18483-2001)中的相关标准。</w:t>
            </w:r>
          </w:p>
          <w:p>
            <w:pPr>
              <w:pStyle w:val="2"/>
              <w:numPr>
                <w:ilvl w:val="0"/>
                <w:numId w:val="7"/>
              </w:numPr>
              <w:ind w:firstLine="480"/>
              <w:rPr>
                <w:lang w:val="zh-CN" w:eastAsia="zh-CN"/>
              </w:rPr>
            </w:pPr>
            <w:r>
              <w:rPr>
                <w:rFonts w:hint="eastAsia"/>
                <w:lang w:val="zh-CN" w:eastAsia="zh-CN"/>
              </w:rPr>
              <w:t>地下车库汽车尾气</w:t>
            </w:r>
          </w:p>
          <w:p>
            <w:pPr>
              <w:spacing w:line="360" w:lineRule="auto"/>
              <w:ind w:firstLine="482"/>
              <w:rPr>
                <w:sz w:val="24"/>
              </w:rPr>
            </w:pPr>
            <w:r>
              <w:rPr>
                <w:rFonts w:hint="eastAsia"/>
                <w:sz w:val="24"/>
                <w:lang w:val="zh-CN"/>
              </w:rPr>
              <w:t>拟建项目</w:t>
            </w:r>
            <w:r>
              <w:rPr>
                <w:sz w:val="24"/>
                <w:lang w:val="zh-CN"/>
              </w:rPr>
              <w:t>设有</w:t>
            </w:r>
            <w:r>
              <w:rPr>
                <w:sz w:val="24"/>
              </w:rPr>
              <w:t>地下停车位</w:t>
            </w:r>
            <w:r>
              <w:rPr>
                <w:rFonts w:hint="eastAsia"/>
                <w:sz w:val="24"/>
              </w:rPr>
              <w:t>25</w:t>
            </w:r>
            <w:r>
              <w:rPr>
                <w:sz w:val="24"/>
              </w:rPr>
              <w:t>个</w:t>
            </w:r>
            <w:r>
              <w:rPr>
                <w:rFonts w:hint="eastAsia"/>
                <w:sz w:val="24"/>
              </w:rPr>
              <w:t>，</w:t>
            </w:r>
            <w:r>
              <w:rPr>
                <w:sz w:val="24"/>
              </w:rPr>
              <w:t>汽车尾气主要污染因子为CO、HC、NO</w:t>
            </w:r>
            <w:r>
              <w:rPr>
                <w:sz w:val="24"/>
                <w:vertAlign w:val="subscript"/>
              </w:rPr>
              <w:t>x</w:t>
            </w:r>
            <w:r>
              <w:rPr>
                <w:sz w:val="24"/>
              </w:rPr>
              <w:t>等，由于区域面积较大，车辆数量相对较小、出行时间不同，且地下车库设有机械排风系统，使汽车尾气</w:t>
            </w:r>
            <w:r>
              <w:rPr>
                <w:rFonts w:hint="eastAsia"/>
                <w:sz w:val="24"/>
              </w:rPr>
              <w:t>经</w:t>
            </w:r>
            <w:r>
              <w:rPr>
                <w:sz w:val="24"/>
              </w:rPr>
              <w:t>专用管道</w:t>
            </w:r>
            <w:r>
              <w:rPr>
                <w:rFonts w:hint="eastAsia"/>
                <w:sz w:val="24"/>
              </w:rPr>
              <w:t>从高于地面2.5m排气筒</w:t>
            </w:r>
            <w:r>
              <w:rPr>
                <w:sz w:val="24"/>
              </w:rPr>
              <w:t>排至建筑外围绿化带，</w:t>
            </w:r>
            <w:r>
              <w:rPr>
                <w:rFonts w:hint="eastAsia"/>
                <w:sz w:val="24"/>
              </w:rPr>
              <w:t>所以</w:t>
            </w:r>
            <w:r>
              <w:rPr>
                <w:rFonts w:hint="eastAsia"/>
                <w:sz w:val="24"/>
                <w:lang w:val="zh-CN"/>
              </w:rPr>
              <w:t>地下车库汽车</w:t>
            </w:r>
            <w:r>
              <w:rPr>
                <w:sz w:val="24"/>
              </w:rPr>
              <w:t>尾气对区域空气环境影响较小。</w:t>
            </w:r>
          </w:p>
          <w:p>
            <w:pPr>
              <w:spacing w:line="360" w:lineRule="auto"/>
              <w:ind w:firstLine="480"/>
              <w:jc w:val="left"/>
              <w:rPr>
                <w:sz w:val="24"/>
              </w:rPr>
            </w:pPr>
            <w:r>
              <w:rPr>
                <w:rFonts w:hint="eastAsia"/>
                <w:sz w:val="24"/>
              </w:rPr>
              <w:t>（3）</w:t>
            </w:r>
            <w:r>
              <w:rPr>
                <w:sz w:val="24"/>
              </w:rPr>
              <w:t>地面停车场</w:t>
            </w:r>
            <w:r>
              <w:rPr>
                <w:rFonts w:hint="eastAsia"/>
                <w:sz w:val="24"/>
              </w:rPr>
              <w:t>汽车尾气</w:t>
            </w:r>
          </w:p>
          <w:p>
            <w:pPr>
              <w:adjustRightInd w:val="0"/>
              <w:snapToGrid w:val="0"/>
              <w:spacing w:line="360" w:lineRule="auto"/>
              <w:ind w:firstLine="480"/>
              <w:jc w:val="left"/>
              <w:rPr>
                <w:sz w:val="24"/>
              </w:rPr>
            </w:pPr>
            <w:r>
              <w:rPr>
                <w:sz w:val="24"/>
              </w:rPr>
              <w:t>本建设项目设地上停车位19个。汽车发动机工作状态经排气筒排出的尾气中的主要污染物为CO、NO</w:t>
            </w:r>
            <w:r>
              <w:rPr>
                <w:sz w:val="24"/>
                <w:vertAlign w:val="subscript"/>
              </w:rPr>
              <w:t>2</w:t>
            </w:r>
            <w:r>
              <w:rPr>
                <w:sz w:val="24"/>
              </w:rPr>
              <w:t>及HC，对停车场及附近空气质量造成影响。地上停车位，与地下车库相对封闭的空间环境不同，出入项目地面停车场的机动车尾气排放属于无组织排放，项目建成后进出车辆在区内行驶距离较短，尾气排放量较小，在空气中稀释扩散较快。同时，项目有针对性的进行绿化美化环境的同时将对机动车产生的尾气起到有效的吸附降解作用，因此地面停车位所带来的大气污染影响较小。</w:t>
            </w:r>
          </w:p>
          <w:p>
            <w:pPr>
              <w:pStyle w:val="2"/>
              <w:ind w:firstLine="480"/>
              <w:rPr>
                <w:szCs w:val="24"/>
                <w:lang w:val="en-US" w:eastAsia="zh-CN"/>
              </w:rPr>
            </w:pPr>
            <w:r>
              <w:rPr>
                <w:rFonts w:hint="eastAsia"/>
                <w:szCs w:val="24"/>
                <w:lang w:val="en-US" w:eastAsia="zh-CN"/>
              </w:rPr>
              <w:t xml:space="preserve">（4）实验室实验室废气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snapToGrid w:val="0"/>
                <w:color w:val="auto"/>
                <w:kern w:val="0"/>
                <w:sz w:val="24"/>
                <w:lang w:val="en-US" w:eastAsia="zh-CN"/>
              </w:rPr>
            </w:pPr>
            <w:r>
              <w:rPr>
                <w:sz w:val="24"/>
              </w:rPr>
              <w:t>本项目</w:t>
            </w:r>
            <w:r>
              <w:rPr>
                <w:rFonts w:hint="eastAsia"/>
                <w:sz w:val="24"/>
              </w:rPr>
              <w:t>设置化学实验室1间，实验室</w:t>
            </w:r>
            <w:r>
              <w:rPr>
                <w:rFonts w:hint="eastAsia"/>
                <w:sz w:val="24"/>
                <w:lang w:val="en-US" w:eastAsia="zh-CN"/>
              </w:rPr>
              <w:t>项目</w:t>
            </w:r>
            <w:r>
              <w:rPr>
                <w:rFonts w:hint="eastAsia"/>
                <w:sz w:val="24"/>
              </w:rPr>
              <w:t>主要包括盐酸和石灰水制取二氧化碳的实验、过氧化氢制取氧气的实验、利用盐酸和氢氧化钠探究酸碱中和反应的实验、盐酸的化学性质探究实验、氢氧化钠的化学性质探究实验、一定溶质质量分数的氯化钠溶液的配</w:t>
            </w:r>
            <w:r>
              <w:rPr>
                <w:rFonts w:hint="eastAsia"/>
                <w:color w:val="auto"/>
                <w:sz w:val="24"/>
              </w:rPr>
              <w:t>置。</w:t>
            </w:r>
            <w:r>
              <w:rPr>
                <w:color w:val="auto"/>
                <w:sz w:val="24"/>
              </w:rPr>
              <w:t>实验过程中会产生的</w:t>
            </w:r>
            <w:r>
              <w:rPr>
                <w:rFonts w:hint="eastAsia"/>
                <w:color w:val="auto"/>
                <w:sz w:val="24"/>
                <w:lang w:eastAsia="zh-CN"/>
              </w:rPr>
              <w:t>实验室废气</w:t>
            </w:r>
            <w:r>
              <w:rPr>
                <w:color w:val="auto"/>
                <w:sz w:val="24"/>
              </w:rPr>
              <w:t>，主要为无机酸性气体，废气主要来自于实验品的挥发或实验制气。</w:t>
            </w:r>
            <w:r>
              <w:rPr>
                <w:rFonts w:hint="eastAsia"/>
                <w:color w:val="auto"/>
                <w:sz w:val="24"/>
              </w:rPr>
              <w:t>实验室主要化学药剂消耗为硫酸20kg/a</w:t>
            </w:r>
            <w:r>
              <w:rPr>
                <w:rFonts w:hint="eastAsia" w:hAnsiTheme="minorHAnsi"/>
                <w:color w:val="auto"/>
                <w:sz w:val="24"/>
              </w:rPr>
              <w:t>（浓度98.3%）</w:t>
            </w:r>
            <w:r>
              <w:rPr>
                <w:rFonts w:hint="eastAsia"/>
                <w:color w:val="auto"/>
                <w:sz w:val="24"/>
              </w:rPr>
              <w:t>、盐酸40kg/a</w:t>
            </w:r>
            <w:r>
              <w:rPr>
                <w:rFonts w:hint="eastAsia" w:hAnsiTheme="minorHAnsi"/>
                <w:color w:val="auto"/>
                <w:sz w:val="24"/>
              </w:rPr>
              <w:t>（浓度30%）</w:t>
            </w:r>
            <w:r>
              <w:rPr>
                <w:rFonts w:hint="eastAsia"/>
                <w:color w:val="auto"/>
                <w:sz w:val="24"/>
              </w:rPr>
              <w:t>、氢氧化钠70kg/a、乙醇40kg/a</w:t>
            </w:r>
            <w:r>
              <w:rPr>
                <w:rFonts w:hint="eastAsia" w:hAnsiTheme="minorHAnsi"/>
                <w:color w:val="auto"/>
                <w:sz w:val="24"/>
              </w:rPr>
              <w:t>（浓度99%）</w:t>
            </w:r>
            <w:r>
              <w:rPr>
                <w:rFonts w:hint="eastAsia"/>
                <w:color w:val="auto"/>
                <w:sz w:val="24"/>
              </w:rPr>
              <w:t>、过氧化氢30kg/a、高锰酸钾5kg/a。</w:t>
            </w:r>
            <w:r>
              <w:rPr>
                <w:rFonts w:hint="default" w:ascii="Times New Roman" w:hAnsi="Times New Roman" w:cs="Times New Roman"/>
                <w:color w:val="auto"/>
                <w:sz w:val="24"/>
                <w:lang w:val="zh-CN"/>
              </w:rPr>
              <w:t>根据</w:t>
            </w:r>
            <w:r>
              <w:rPr>
                <w:rFonts w:hint="eastAsia" w:ascii="Times New Roman" w:hAnsi="Times New Roman" w:cs="Times New Roman"/>
                <w:color w:val="auto"/>
                <w:sz w:val="24"/>
                <w:lang w:val="zh-CN"/>
              </w:rPr>
              <w:t>类比资料</w:t>
            </w:r>
            <w:r>
              <w:rPr>
                <w:rFonts w:hint="default" w:ascii="Times New Roman" w:hAnsi="Times New Roman" w:cs="Times New Roman"/>
                <w:color w:val="auto"/>
                <w:sz w:val="24"/>
                <w:lang w:val="zh-CN"/>
              </w:rPr>
              <w:t>，氯化氢废气产生量按年耗量的5</w:t>
            </w:r>
            <w:r>
              <w:rPr>
                <w:rFonts w:hint="default" w:ascii="Arial" w:hAnsi="Arial" w:cs="Arial"/>
                <w:color w:val="auto"/>
                <w:sz w:val="24"/>
                <w:lang w:val="zh-CN"/>
              </w:rPr>
              <w:t>‰</w:t>
            </w:r>
            <w:r>
              <w:rPr>
                <w:rFonts w:hint="default" w:ascii="Times New Roman" w:hAnsi="Times New Roman" w:cs="Times New Roman"/>
                <w:color w:val="auto"/>
                <w:sz w:val="24"/>
                <w:lang w:val="zh-CN"/>
              </w:rPr>
              <w:t>计</w:t>
            </w:r>
            <w:r>
              <w:rPr>
                <w:rFonts w:hint="eastAsia" w:cs="Times New Roman"/>
                <w:color w:val="auto"/>
                <w:sz w:val="24"/>
                <w:lang w:val="zh-CN"/>
              </w:rPr>
              <w:t>，</w:t>
            </w:r>
            <w:r>
              <w:rPr>
                <w:rFonts w:hint="default" w:ascii="Times New Roman" w:hAnsi="Times New Roman" w:cs="Times New Roman"/>
                <w:color w:val="auto"/>
                <w:sz w:val="24"/>
                <w:lang w:val="zh-CN"/>
              </w:rPr>
              <w:t>硫酸雾产生量按年耗量的5</w:t>
            </w:r>
            <w:r>
              <w:rPr>
                <w:rFonts w:hint="default" w:ascii="Arial" w:hAnsi="Arial" w:cs="Arial"/>
                <w:color w:val="auto"/>
                <w:sz w:val="24"/>
                <w:lang w:val="zh-CN"/>
              </w:rPr>
              <w:t>‰</w:t>
            </w:r>
            <w:r>
              <w:rPr>
                <w:rFonts w:hint="default" w:ascii="Times New Roman" w:hAnsi="Times New Roman" w:cs="Times New Roman"/>
                <w:color w:val="auto"/>
                <w:sz w:val="24"/>
                <w:lang w:val="zh-CN"/>
              </w:rPr>
              <w:t>计</w:t>
            </w:r>
            <w:r>
              <w:rPr>
                <w:rFonts w:hint="eastAsia" w:cs="Times New Roman"/>
                <w:color w:val="auto"/>
                <w:sz w:val="24"/>
                <w:lang w:val="zh-CN"/>
              </w:rPr>
              <w:t>。</w:t>
            </w:r>
            <w:r>
              <w:rPr>
                <w:rFonts w:hint="eastAsia" w:cs="Times New Roman"/>
                <w:color w:val="auto"/>
                <w:sz w:val="24"/>
                <w:lang w:val="en-US" w:eastAsia="zh-CN"/>
              </w:rPr>
              <w:t>本项目实验室</w:t>
            </w:r>
            <w:r>
              <w:rPr>
                <w:rFonts w:hint="default" w:ascii="Times New Roman" w:hAnsi="Times New Roman" w:cs="Times New Roman"/>
                <w:color w:val="auto"/>
                <w:sz w:val="24"/>
                <w:lang w:val="zh-CN"/>
              </w:rPr>
              <w:t>盐酸使用量约为</w:t>
            </w:r>
            <w:r>
              <w:rPr>
                <w:rFonts w:hint="eastAsia" w:ascii="Times New Roman" w:hAnsi="Times New Roman" w:cs="Times New Roman"/>
                <w:color w:val="auto"/>
                <w:sz w:val="24"/>
                <w:lang w:val="en-US" w:eastAsia="zh-CN"/>
              </w:rPr>
              <w:t>40</w:t>
            </w:r>
            <w:r>
              <w:rPr>
                <w:rFonts w:hint="default" w:ascii="Times New Roman" w:hAnsi="Times New Roman" w:cs="Times New Roman"/>
                <w:color w:val="auto"/>
                <w:sz w:val="24"/>
                <w:lang w:val="zh-CN"/>
              </w:rPr>
              <w:t>kg/a，硫酸使用量约</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zh-CN"/>
              </w:rPr>
              <w:t>kg/a，则</w:t>
            </w:r>
            <w:r>
              <w:rPr>
                <w:rFonts w:hint="eastAsia" w:cs="Times New Roman"/>
                <w:color w:val="auto"/>
                <w:sz w:val="24"/>
                <w:lang w:val="en-US" w:eastAsia="zh-CN"/>
              </w:rPr>
              <w:t>盐酸</w:t>
            </w:r>
            <w:r>
              <w:rPr>
                <w:rFonts w:hint="default" w:ascii="Times New Roman" w:hAnsi="Times New Roman" w:cs="Times New Roman"/>
                <w:color w:val="auto"/>
                <w:sz w:val="24"/>
                <w:lang w:val="zh-CN"/>
              </w:rPr>
              <w:t>废气产生量为0.</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zh-CN"/>
              </w:rPr>
              <w:t>kg/a</w:t>
            </w:r>
            <w:r>
              <w:rPr>
                <w:rFonts w:hint="eastAsia" w:cs="Times New Roman"/>
                <w:color w:val="auto"/>
                <w:sz w:val="24"/>
                <w:lang w:val="zh-CN"/>
              </w:rPr>
              <w:t>，</w:t>
            </w:r>
            <w:r>
              <w:rPr>
                <w:rFonts w:hint="eastAsia" w:cs="Times New Roman"/>
                <w:color w:val="auto"/>
                <w:sz w:val="24"/>
                <w:lang w:val="en-US" w:eastAsia="zh-CN"/>
              </w:rPr>
              <w:t>硫酸雾</w:t>
            </w:r>
            <w:r>
              <w:rPr>
                <w:rFonts w:hint="default" w:ascii="Times New Roman" w:hAnsi="Times New Roman" w:cs="Times New Roman"/>
                <w:color w:val="auto"/>
                <w:sz w:val="24"/>
                <w:lang w:val="zh-CN"/>
              </w:rPr>
              <w:t>产生量为0.</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zh-CN"/>
              </w:rPr>
              <w:t>kg/a</w:t>
            </w:r>
            <w:r>
              <w:rPr>
                <w:rFonts w:hint="eastAsia" w:cs="Times New Roman"/>
                <w:color w:val="auto"/>
                <w:sz w:val="24"/>
                <w:lang w:val="zh-CN"/>
              </w:rPr>
              <w:t>。</w:t>
            </w:r>
            <w:r>
              <w:rPr>
                <w:rFonts w:hint="eastAsia"/>
                <w:color w:val="auto"/>
                <w:sz w:val="24"/>
                <w:lang w:val="en-US" w:eastAsia="zh-CN"/>
              </w:rPr>
              <w:t>乙醇作为酒精灯燃料燃烧，不考虑挥发性废气产生</w:t>
            </w:r>
            <w:r>
              <w:rPr>
                <w:rFonts w:hint="eastAsia"/>
                <w:color w:val="auto"/>
                <w:sz w:val="24"/>
              </w:rPr>
              <w:t>。实验室安装</w:t>
            </w:r>
            <w:r>
              <w:rPr>
                <w:rFonts w:hint="eastAsia"/>
                <w:color w:val="auto"/>
                <w:sz w:val="24"/>
                <w:lang w:val="en-US" w:eastAsia="zh-CN"/>
              </w:rPr>
              <w:t>1台</w:t>
            </w:r>
            <w:r>
              <w:rPr>
                <w:rFonts w:hint="eastAsia"/>
                <w:color w:val="auto"/>
                <w:sz w:val="24"/>
              </w:rPr>
              <w:t>专用通风橱，试剂配制</w:t>
            </w:r>
            <w:r>
              <w:rPr>
                <w:rFonts w:hint="eastAsia"/>
                <w:color w:val="auto"/>
                <w:sz w:val="24"/>
                <w:lang w:val="en-US" w:eastAsia="zh-CN"/>
              </w:rPr>
              <w:t>过程全部</w:t>
            </w:r>
            <w:r>
              <w:rPr>
                <w:rFonts w:hint="eastAsia"/>
                <w:color w:val="auto"/>
                <w:sz w:val="24"/>
              </w:rPr>
              <w:t>在通风橱内进行，</w:t>
            </w:r>
            <w:r>
              <w:rPr>
                <w:rFonts w:hint="eastAsia"/>
                <w:color w:val="auto"/>
                <w:sz w:val="24"/>
                <w:lang w:val="en-US" w:eastAsia="zh-CN"/>
              </w:rPr>
              <w:t>产生的废气经通风橱</w:t>
            </w:r>
            <w:r>
              <w:rPr>
                <w:rFonts w:hint="eastAsia"/>
                <w:color w:val="auto"/>
                <w:sz w:val="24"/>
              </w:rPr>
              <w:t>收集后通过</w:t>
            </w:r>
            <w:r>
              <w:rPr>
                <w:rFonts w:hint="eastAsia"/>
                <w:color w:val="auto"/>
                <w:sz w:val="24"/>
                <w:lang w:val="en-US" w:eastAsia="zh-CN"/>
              </w:rPr>
              <w:t>15</w:t>
            </w:r>
            <w:r>
              <w:rPr>
                <w:rFonts w:hint="eastAsia"/>
                <w:color w:val="auto"/>
                <w:sz w:val="24"/>
              </w:rPr>
              <w:t>m</w:t>
            </w:r>
            <w:r>
              <w:rPr>
                <w:rFonts w:hint="eastAsia"/>
                <w:color w:val="auto"/>
                <w:sz w:val="24"/>
                <w:lang w:val="en-US" w:eastAsia="zh-CN"/>
              </w:rPr>
              <w:t>高</w:t>
            </w:r>
            <w:r>
              <w:rPr>
                <w:rFonts w:hint="eastAsia"/>
                <w:color w:val="auto"/>
                <w:sz w:val="24"/>
              </w:rPr>
              <w:t>排气筒排放，</w:t>
            </w:r>
            <w:r>
              <w:rPr>
                <w:rFonts w:hint="eastAsia"/>
                <w:color w:val="auto"/>
                <w:sz w:val="24"/>
                <w:lang w:val="en-US" w:eastAsia="zh-CN"/>
              </w:rPr>
              <w:t>通风橱收集效率按85%，</w:t>
            </w:r>
            <w:r>
              <w:rPr>
                <w:rFonts w:hint="default" w:ascii="Times New Roman" w:hAnsi="Times New Roman" w:cs="Times New Roman"/>
                <w:color w:val="auto"/>
                <w:sz w:val="24"/>
                <w:lang w:val="zh-CN"/>
              </w:rPr>
              <w:t>风机风量</w:t>
            </w:r>
            <w:r>
              <w:rPr>
                <w:rFonts w:hint="eastAsia" w:ascii="Times New Roman" w:hAnsi="Times New Roman" w:cs="Times New Roman"/>
                <w:color w:val="auto"/>
                <w:sz w:val="24"/>
                <w:lang w:val="zh-CN"/>
              </w:rPr>
              <w:t>以</w:t>
            </w:r>
            <w:r>
              <w:rPr>
                <w:rFonts w:hint="eastAsia" w:ascii="Times New Roman" w:hAnsi="Times New Roman" w:cs="Times New Roman"/>
                <w:color w:val="auto"/>
                <w:sz w:val="24"/>
                <w:lang w:val="en-US" w:eastAsia="zh-CN"/>
              </w:rPr>
              <w:t>1000</w:t>
            </w:r>
            <w:r>
              <w:rPr>
                <w:rFonts w:hint="default" w:ascii="Times New Roman" w:hAnsi="Times New Roman" w:cs="Times New Roman"/>
                <w:color w:val="auto"/>
                <w:sz w:val="24"/>
                <w:lang w:val="zh-CN"/>
              </w:rPr>
              <w:t>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/h</w:t>
            </w:r>
            <w:r>
              <w:rPr>
                <w:rFonts w:hint="eastAsia" w:ascii="Times New Roman" w:hAnsi="Times New Roman" w:cs="Times New Roman"/>
                <w:color w:val="auto"/>
                <w:sz w:val="24"/>
                <w:lang w:val="zh-CN"/>
              </w:rPr>
              <w:t>，</w:t>
            </w:r>
            <w:r>
              <w:rPr>
                <w:rFonts w:hint="default" w:ascii="Times New Roman" w:hAnsi="Times New Roman" w:cs="Times New Roman"/>
                <w:color w:val="auto"/>
                <w:sz w:val="24"/>
                <w:lang w:val="zh-CN"/>
              </w:rPr>
              <w:t>有效工作时间按2h/d（600h/a）</w:t>
            </w:r>
            <w:r>
              <w:rPr>
                <w:rFonts w:hint="eastAsia" w:ascii="Times New Roman" w:hAnsi="Times New Roman" w:cs="Times New Roman"/>
                <w:color w:val="auto"/>
                <w:sz w:val="24"/>
                <w:lang w:val="zh-CN"/>
              </w:rPr>
              <w:t>，</w:t>
            </w:r>
            <w:r>
              <w:rPr>
                <w:rFonts w:hint="default" w:ascii="Times New Roman" w:hAnsi="Times New Roman" w:cs="Times New Roman"/>
                <w:color w:val="auto"/>
                <w:sz w:val="24"/>
                <w:lang w:val="zh-CN"/>
              </w:rPr>
              <w:t>则本项目</w:t>
            </w:r>
            <w:r>
              <w:rPr>
                <w:rFonts w:hint="eastAsia" w:ascii="Times New Roman" w:hAnsi="Times New Roman" w:cs="Times New Roman"/>
                <w:color w:val="auto"/>
                <w:sz w:val="24"/>
                <w:lang w:val="zh-CN"/>
              </w:rPr>
              <w:t>废气排放情况详见</w:t>
            </w:r>
            <w:r>
              <w:rPr>
                <w:rFonts w:hint="eastAsia" w:ascii="Times New Roman" w:hAnsi="Times New Roman" w:cs="Times New Roman"/>
                <w:color w:val="auto"/>
                <w:sz w:val="24"/>
                <w:lang w:val="en-US" w:eastAsia="zh-CN"/>
              </w:rPr>
              <w:t>下</w:t>
            </w:r>
            <w:r>
              <w:rPr>
                <w:rFonts w:hint="eastAsia" w:ascii="Times New Roman" w:hAnsi="Times New Roman" w:cs="Times New Roman"/>
                <w:color w:val="auto"/>
                <w:sz w:val="24"/>
                <w:lang w:val="zh-CN"/>
              </w:rPr>
              <w:t>表。</w:t>
            </w:r>
            <w:r>
              <w:rPr>
                <w:rFonts w:hint="eastAsia" w:ascii="Times New Roman" w:hAnsi="Times New Roman" w:cs="Times New Roman"/>
                <w:b/>
                <w:snapToGrid w:val="0"/>
                <w:color w:val="auto"/>
                <w:kern w:val="0"/>
                <w:sz w:val="24"/>
                <w:lang w:val="en-US" w:eastAsia="zh-CN"/>
              </w:rPr>
              <w:t xml:space="preserve"> </w:t>
            </w:r>
          </w:p>
          <w:p>
            <w:pPr>
              <w:spacing w:line="320" w:lineRule="exact"/>
              <w:jc w:val="center"/>
              <w:rPr>
                <w:rFonts w:hint="default" w:ascii="Times New Roman" w:hAnsi="Times New Roman" w:cs="Times New Roman"/>
                <w:color w:val="auto"/>
                <w:sz w:val="24"/>
                <w:lang w:val="zh-CN"/>
              </w:rPr>
            </w:pPr>
            <w:r>
              <w:rPr>
                <w:rFonts w:hint="eastAsia" w:ascii="Times New Roman" w:hAnsi="Times New Roman" w:cs="Times New Roman"/>
                <w:b/>
                <w:snapToGrid w:val="0"/>
                <w:color w:val="auto"/>
                <w:kern w:val="0"/>
                <w:sz w:val="24"/>
                <w:lang w:val="en-US" w:eastAsia="zh-CN"/>
              </w:rPr>
              <w:t xml:space="preserve">表4-2  </w:t>
            </w:r>
            <w:r>
              <w:rPr>
                <w:rFonts w:hint="default" w:ascii="Times New Roman" w:hAnsi="Times New Roman" w:cs="Times New Roman"/>
                <w:b/>
                <w:snapToGrid w:val="0"/>
                <w:color w:val="auto"/>
                <w:kern w:val="0"/>
                <w:sz w:val="24"/>
              </w:rPr>
              <w:t>项目废气排放情况一览表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827"/>
              <w:gridCol w:w="1098"/>
              <w:gridCol w:w="1027"/>
              <w:gridCol w:w="1228"/>
              <w:gridCol w:w="1098"/>
              <w:gridCol w:w="98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4" w:type="pct"/>
                  <w:gridSpan w:val="2"/>
                  <w:vMerge w:val="restar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rPr>
                    <w:t>污染物</w:t>
                  </w:r>
                </w:p>
              </w:tc>
              <w:tc>
                <w:tcPr>
                  <w:tcW w:w="2015" w:type="pct"/>
                  <w:gridSpan w:val="3"/>
                  <w:tcBorders>
                    <w:tl2br w:val="nil"/>
                    <w:tr2bl w:val="nil"/>
                  </w:tcBorders>
                  <w:noWrap w:val="0"/>
                  <w:vAlign w:val="center"/>
                </w:tcPr>
                <w:p>
                  <w:pPr>
                    <w:snapToGrid w:val="0"/>
                    <w:jc w:val="center"/>
                    <w:rPr>
                      <w:rFonts w:hint="eastAsia" w:ascii="Times New Roman" w:hAnsi="Times New Roman" w:cs="Times New Roman"/>
                      <w:b/>
                      <w:bCs w:val="0"/>
                      <w:color w:val="auto"/>
                      <w:sz w:val="18"/>
                      <w:szCs w:val="18"/>
                      <w:lang w:eastAsia="zh-CN"/>
                    </w:rPr>
                  </w:pPr>
                  <w:r>
                    <w:rPr>
                      <w:rFonts w:hint="eastAsia" w:ascii="Times New Roman" w:hAnsi="Times New Roman" w:cs="Times New Roman"/>
                      <w:b/>
                      <w:bCs w:val="0"/>
                      <w:color w:val="auto"/>
                      <w:sz w:val="18"/>
                      <w:szCs w:val="18"/>
                      <w:lang w:eastAsia="zh-CN"/>
                    </w:rPr>
                    <w:t>产生情况</w:t>
                  </w:r>
                </w:p>
              </w:tc>
              <w:tc>
                <w:tcPr>
                  <w:tcW w:w="1989" w:type="pct"/>
                  <w:gridSpan w:val="3"/>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排放</w:t>
                  </w:r>
                  <w:r>
                    <w:rPr>
                      <w:rFonts w:hint="eastAsia" w:ascii="Times New Roman" w:hAnsi="Times New Roman" w:cs="Times New Roman"/>
                      <w:b/>
                      <w:bCs w:val="0"/>
                      <w:color w:val="auto"/>
                      <w:sz w:val="18"/>
                      <w:szCs w:val="1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4" w:type="pct"/>
                  <w:gridSpan w:val="2"/>
                  <w:vMerge w:val="continue"/>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p>
              </w:tc>
              <w:tc>
                <w:tcPr>
                  <w:tcW w:w="660"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产生</w:t>
                  </w:r>
                  <w:r>
                    <w:rPr>
                      <w:rFonts w:hint="eastAsia" w:ascii="Times New Roman" w:hAnsi="Times New Roman" w:cs="Times New Roman"/>
                      <w:b/>
                      <w:bCs w:val="0"/>
                      <w:color w:val="auto"/>
                      <w:sz w:val="18"/>
                      <w:szCs w:val="18"/>
                    </w:rPr>
                    <w:t>量</w:t>
                  </w:r>
                </w:p>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rPr>
                    <w:t>t/a</w:t>
                  </w:r>
                </w:p>
              </w:tc>
              <w:tc>
                <w:tcPr>
                  <w:tcW w:w="617"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产生</w:t>
                  </w:r>
                  <w:r>
                    <w:rPr>
                      <w:rFonts w:hint="eastAsia" w:ascii="Times New Roman" w:hAnsi="Times New Roman" w:cs="Times New Roman"/>
                      <w:b/>
                      <w:bCs w:val="0"/>
                      <w:color w:val="auto"/>
                      <w:sz w:val="18"/>
                      <w:szCs w:val="18"/>
                    </w:rPr>
                    <w:t>速率</w:t>
                  </w:r>
                </w:p>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rPr>
                    <w:t>kg/h</w:t>
                  </w:r>
                </w:p>
              </w:tc>
              <w:tc>
                <w:tcPr>
                  <w:tcW w:w="737"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产生</w:t>
                  </w:r>
                  <w:r>
                    <w:rPr>
                      <w:rFonts w:hint="eastAsia" w:ascii="Times New Roman" w:hAnsi="Times New Roman" w:cs="Times New Roman"/>
                      <w:b/>
                      <w:bCs w:val="0"/>
                      <w:color w:val="auto"/>
                      <w:sz w:val="18"/>
                      <w:szCs w:val="18"/>
                    </w:rPr>
                    <w:t>浓度mg/m</w:t>
                  </w:r>
                  <w:r>
                    <w:rPr>
                      <w:rFonts w:hint="eastAsia" w:ascii="Times New Roman" w:hAnsi="Times New Roman" w:cs="Times New Roman"/>
                      <w:b/>
                      <w:bCs w:val="0"/>
                      <w:color w:val="auto"/>
                      <w:sz w:val="18"/>
                      <w:szCs w:val="18"/>
                      <w:vertAlign w:val="superscript"/>
                    </w:rPr>
                    <w:t>3</w:t>
                  </w:r>
                </w:p>
              </w:tc>
              <w:tc>
                <w:tcPr>
                  <w:tcW w:w="660"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排放</w:t>
                  </w:r>
                  <w:r>
                    <w:rPr>
                      <w:rFonts w:hint="eastAsia" w:ascii="Times New Roman" w:hAnsi="Times New Roman" w:cs="Times New Roman"/>
                      <w:b/>
                      <w:bCs w:val="0"/>
                      <w:color w:val="auto"/>
                      <w:sz w:val="18"/>
                      <w:szCs w:val="18"/>
                    </w:rPr>
                    <w:t>量</w:t>
                  </w:r>
                </w:p>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rPr>
                    <w:t>t/a</w:t>
                  </w:r>
                </w:p>
              </w:tc>
              <w:tc>
                <w:tcPr>
                  <w:tcW w:w="591"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排放</w:t>
                  </w:r>
                  <w:r>
                    <w:rPr>
                      <w:rFonts w:hint="eastAsia" w:ascii="Times New Roman" w:hAnsi="Times New Roman" w:cs="Times New Roman"/>
                      <w:b/>
                      <w:bCs w:val="0"/>
                      <w:color w:val="auto"/>
                      <w:sz w:val="18"/>
                      <w:szCs w:val="18"/>
                    </w:rPr>
                    <w:t>速率</w:t>
                  </w:r>
                </w:p>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rPr>
                    <w:t>kg/h</w:t>
                  </w:r>
                </w:p>
              </w:tc>
              <w:tc>
                <w:tcPr>
                  <w:tcW w:w="737" w:type="pct"/>
                  <w:tcBorders>
                    <w:tl2br w:val="nil"/>
                    <w:tr2bl w:val="nil"/>
                  </w:tcBorders>
                  <w:noWrap w:val="0"/>
                  <w:vAlign w:val="center"/>
                </w:tcPr>
                <w:p>
                  <w:pPr>
                    <w:snapToGrid w:val="0"/>
                    <w:jc w:val="center"/>
                    <w:rPr>
                      <w:rFonts w:hint="eastAsia" w:ascii="Times New Roman" w:hAnsi="Times New Roman" w:cs="Times New Roman"/>
                      <w:b/>
                      <w:bCs w:val="0"/>
                      <w:color w:val="auto"/>
                      <w:sz w:val="18"/>
                      <w:szCs w:val="18"/>
                    </w:rPr>
                  </w:pPr>
                  <w:r>
                    <w:rPr>
                      <w:rFonts w:hint="eastAsia" w:ascii="Times New Roman" w:hAnsi="Times New Roman" w:cs="Times New Roman"/>
                      <w:b/>
                      <w:bCs w:val="0"/>
                      <w:color w:val="auto"/>
                      <w:sz w:val="18"/>
                      <w:szCs w:val="18"/>
                      <w:lang w:eastAsia="zh-CN"/>
                    </w:rPr>
                    <w:t>排放</w:t>
                  </w:r>
                  <w:r>
                    <w:rPr>
                      <w:rFonts w:hint="eastAsia" w:ascii="Times New Roman" w:hAnsi="Times New Roman" w:cs="Times New Roman"/>
                      <w:b/>
                      <w:bCs w:val="0"/>
                      <w:color w:val="auto"/>
                      <w:sz w:val="18"/>
                      <w:szCs w:val="18"/>
                    </w:rPr>
                    <w:t>浓度mg/m</w:t>
                  </w:r>
                  <w:r>
                    <w:rPr>
                      <w:rFonts w:hint="eastAsia" w:ascii="Times New Roman" w:hAnsi="Times New Roman" w:cs="Times New Roman"/>
                      <w:b/>
                      <w:bCs w:val="0"/>
                      <w:color w:val="auto"/>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97" w:type="pct"/>
                  <w:vMerge w:val="restart"/>
                  <w:tcBorders>
                    <w:tl2br w:val="nil"/>
                    <w:tr2bl w:val="nil"/>
                  </w:tcBorders>
                  <w:noWrap w:val="0"/>
                  <w:vAlign w:val="center"/>
                </w:tcPr>
                <w:p>
                  <w:pPr>
                    <w:snapToGrid w:val="0"/>
                    <w:jc w:val="center"/>
                    <w:rPr>
                      <w:rFonts w:hint="eastAsia" w:ascii="Times New Roman" w:hAnsi="Times New Roman" w:eastAsia="宋体" w:cs="Times New Roman"/>
                      <w:bCs/>
                      <w:color w:val="auto"/>
                      <w:sz w:val="18"/>
                      <w:szCs w:val="18"/>
                      <w:lang w:eastAsia="zh-CN"/>
                    </w:rPr>
                  </w:pPr>
                  <w:r>
                    <w:rPr>
                      <w:rFonts w:hint="eastAsia" w:ascii="Times New Roman" w:hAnsi="Times New Roman" w:cs="Times New Roman"/>
                      <w:bCs/>
                      <w:color w:val="auto"/>
                      <w:sz w:val="18"/>
                      <w:szCs w:val="18"/>
                      <w:lang w:eastAsia="zh-CN"/>
                    </w:rPr>
                    <w:t>氯化氢</w:t>
                  </w:r>
                </w:p>
              </w:tc>
              <w:tc>
                <w:tcPr>
                  <w:tcW w:w="497" w:type="pct"/>
                  <w:tcBorders>
                    <w:tl2br w:val="nil"/>
                    <w:tr2bl w:val="nil"/>
                  </w:tcBorders>
                  <w:noWrap w:val="0"/>
                  <w:vAlign w:val="center"/>
                </w:tcPr>
                <w:p>
                  <w:pPr>
                    <w:snapToGrid w:val="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有组织</w:t>
                  </w:r>
                </w:p>
              </w:tc>
              <w:tc>
                <w:tcPr>
                  <w:tcW w:w="660"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0.00017</w:t>
                  </w:r>
                </w:p>
              </w:tc>
              <w:tc>
                <w:tcPr>
                  <w:tcW w:w="61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0.00028</w:t>
                  </w:r>
                </w:p>
              </w:tc>
              <w:tc>
                <w:tcPr>
                  <w:tcW w:w="73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0.28</w:t>
                  </w:r>
                </w:p>
              </w:tc>
              <w:tc>
                <w:tcPr>
                  <w:tcW w:w="660" w:type="pct"/>
                  <w:tcBorders>
                    <w:tl2br w:val="nil"/>
                    <w:tr2bl w:val="nil"/>
                  </w:tcBorders>
                  <w:noWrap w:val="0"/>
                  <w:vAlign w:val="center"/>
                </w:tcPr>
                <w:p>
                  <w:pPr>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0.00017</w:t>
                  </w:r>
                </w:p>
              </w:tc>
              <w:tc>
                <w:tcPr>
                  <w:tcW w:w="591" w:type="pct"/>
                  <w:tcBorders>
                    <w:tl2br w:val="nil"/>
                    <w:tr2bl w:val="nil"/>
                  </w:tcBorders>
                  <w:noWrap w:val="0"/>
                  <w:vAlign w:val="center"/>
                </w:tcPr>
                <w:p>
                  <w:pPr>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0.00028</w:t>
                  </w:r>
                </w:p>
              </w:tc>
              <w:tc>
                <w:tcPr>
                  <w:tcW w:w="73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97" w:type="pct"/>
                  <w:vMerge w:val="continue"/>
                  <w:tcBorders>
                    <w:tl2br w:val="nil"/>
                    <w:tr2bl w:val="nil"/>
                  </w:tcBorders>
                  <w:noWrap w:val="0"/>
                  <w:vAlign w:val="center"/>
                </w:tcPr>
                <w:p>
                  <w:pPr>
                    <w:snapToGrid w:val="0"/>
                    <w:jc w:val="center"/>
                    <w:rPr>
                      <w:rFonts w:hint="eastAsia" w:ascii="Times New Roman" w:hAnsi="Times New Roman" w:cs="Times New Roman"/>
                      <w:bCs/>
                      <w:color w:val="auto"/>
                      <w:sz w:val="18"/>
                      <w:szCs w:val="18"/>
                      <w:lang w:eastAsia="zh-CN"/>
                    </w:rPr>
                  </w:pPr>
                </w:p>
              </w:tc>
              <w:tc>
                <w:tcPr>
                  <w:tcW w:w="497" w:type="pct"/>
                  <w:tcBorders>
                    <w:tl2br w:val="nil"/>
                    <w:tr2bl w:val="nil"/>
                  </w:tcBorders>
                  <w:noWrap w:val="0"/>
                  <w:vAlign w:val="center"/>
                </w:tcPr>
                <w:p>
                  <w:pPr>
                    <w:snapToGrid w:val="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无组织</w:t>
                  </w:r>
                </w:p>
              </w:tc>
              <w:tc>
                <w:tcPr>
                  <w:tcW w:w="660"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0.00003</w:t>
                  </w:r>
                </w:p>
              </w:tc>
              <w:tc>
                <w:tcPr>
                  <w:tcW w:w="61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0.00005</w:t>
                  </w:r>
                </w:p>
              </w:tc>
              <w:tc>
                <w:tcPr>
                  <w:tcW w:w="73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660"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0.00003</w:t>
                  </w:r>
                </w:p>
              </w:tc>
              <w:tc>
                <w:tcPr>
                  <w:tcW w:w="591"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0.00005</w:t>
                  </w:r>
                </w:p>
              </w:tc>
              <w:tc>
                <w:tcPr>
                  <w:tcW w:w="737"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97" w:type="pct"/>
                  <w:vMerge w:val="restart"/>
                  <w:tcBorders>
                    <w:tl2br w:val="nil"/>
                    <w:tr2bl w:val="nil"/>
                  </w:tcBorders>
                  <w:noWrap w:val="0"/>
                  <w:vAlign w:val="center"/>
                </w:tcPr>
                <w:p>
                  <w:pPr>
                    <w:snapToGrid w:val="0"/>
                    <w:jc w:val="center"/>
                    <w:rPr>
                      <w:rFonts w:hint="eastAsia" w:ascii="Times New Roman" w:hAnsi="Times New Roman" w:cs="Times New Roman"/>
                      <w:bCs/>
                      <w:color w:val="auto"/>
                      <w:sz w:val="18"/>
                      <w:szCs w:val="18"/>
                      <w:lang w:eastAsia="zh-CN"/>
                    </w:rPr>
                  </w:pPr>
                  <w:r>
                    <w:rPr>
                      <w:rFonts w:hint="eastAsia" w:ascii="Times New Roman" w:hAnsi="Times New Roman" w:cs="Times New Roman"/>
                      <w:bCs/>
                      <w:color w:val="auto"/>
                      <w:sz w:val="18"/>
                      <w:szCs w:val="18"/>
                      <w:lang w:eastAsia="zh-CN"/>
                    </w:rPr>
                    <w:t>硫酸雾</w:t>
                  </w:r>
                </w:p>
              </w:tc>
              <w:tc>
                <w:tcPr>
                  <w:tcW w:w="497" w:type="pct"/>
                  <w:tcBorders>
                    <w:tl2br w:val="nil"/>
                    <w:tr2bl w:val="nil"/>
                  </w:tcBorders>
                  <w:noWrap w:val="0"/>
                  <w:vAlign w:val="center"/>
                </w:tcPr>
                <w:p>
                  <w:pPr>
                    <w:snapToGrid w:val="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有组织</w:t>
                  </w:r>
                </w:p>
              </w:tc>
              <w:tc>
                <w:tcPr>
                  <w:tcW w:w="660"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0.000085</w:t>
                  </w:r>
                </w:p>
              </w:tc>
              <w:tc>
                <w:tcPr>
                  <w:tcW w:w="61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0.00014</w:t>
                  </w:r>
                </w:p>
              </w:tc>
              <w:tc>
                <w:tcPr>
                  <w:tcW w:w="73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0.14</w:t>
                  </w:r>
                </w:p>
              </w:tc>
              <w:tc>
                <w:tcPr>
                  <w:tcW w:w="660" w:type="pct"/>
                  <w:tcBorders>
                    <w:tl2br w:val="nil"/>
                    <w:tr2bl w:val="nil"/>
                  </w:tcBorders>
                  <w:noWrap w:val="0"/>
                  <w:vAlign w:val="center"/>
                </w:tcPr>
                <w:p>
                  <w:pPr>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0.000085</w:t>
                  </w:r>
                </w:p>
              </w:tc>
              <w:tc>
                <w:tcPr>
                  <w:tcW w:w="591" w:type="pct"/>
                  <w:tcBorders>
                    <w:tl2br w:val="nil"/>
                    <w:tr2bl w:val="nil"/>
                  </w:tcBorders>
                  <w:noWrap w:val="0"/>
                  <w:vAlign w:val="center"/>
                </w:tcPr>
                <w:p>
                  <w:pPr>
                    <w:snapToGrid w:val="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0.00014</w:t>
                  </w:r>
                </w:p>
              </w:tc>
              <w:tc>
                <w:tcPr>
                  <w:tcW w:w="737" w:type="pct"/>
                  <w:tcBorders>
                    <w:tl2br w:val="nil"/>
                    <w:tr2bl w:val="nil"/>
                  </w:tcBorders>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97" w:type="pct"/>
                  <w:vMerge w:val="continue"/>
                  <w:tcBorders>
                    <w:tl2br w:val="nil"/>
                    <w:tr2bl w:val="nil"/>
                  </w:tcBorders>
                  <w:noWrap w:val="0"/>
                  <w:vAlign w:val="center"/>
                </w:tcPr>
                <w:p>
                  <w:pPr>
                    <w:snapToGrid w:val="0"/>
                    <w:jc w:val="center"/>
                    <w:rPr>
                      <w:rFonts w:hint="eastAsia" w:ascii="Times New Roman" w:hAnsi="Times New Roman" w:cs="Times New Roman"/>
                      <w:bCs/>
                      <w:color w:val="auto"/>
                      <w:sz w:val="18"/>
                      <w:szCs w:val="18"/>
                      <w:lang w:eastAsia="zh-CN"/>
                    </w:rPr>
                  </w:pPr>
                </w:p>
              </w:tc>
              <w:tc>
                <w:tcPr>
                  <w:tcW w:w="497" w:type="pct"/>
                  <w:tcBorders>
                    <w:tl2br w:val="nil"/>
                    <w:tr2bl w:val="nil"/>
                  </w:tcBorders>
                  <w:noWrap w:val="0"/>
                  <w:vAlign w:val="center"/>
                </w:tcPr>
                <w:p>
                  <w:pPr>
                    <w:snapToGrid w:val="0"/>
                    <w:jc w:val="center"/>
                    <w:rPr>
                      <w:rFonts w:hint="eastAsia"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无组织</w:t>
                  </w:r>
                </w:p>
              </w:tc>
              <w:tc>
                <w:tcPr>
                  <w:tcW w:w="660"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0.000015</w:t>
                  </w:r>
                </w:p>
              </w:tc>
              <w:tc>
                <w:tcPr>
                  <w:tcW w:w="61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0.00003</w:t>
                  </w:r>
                </w:p>
              </w:tc>
              <w:tc>
                <w:tcPr>
                  <w:tcW w:w="737" w:type="pct"/>
                  <w:tcBorders>
                    <w:tl2br w:val="nil"/>
                    <w:tr2bl w:val="nil"/>
                  </w:tcBorders>
                  <w:noWrap w:val="0"/>
                  <w:vAlign w:val="center"/>
                </w:tcPr>
                <w:p>
                  <w:pPr>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660"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0.000015</w:t>
                  </w:r>
                </w:p>
              </w:tc>
              <w:tc>
                <w:tcPr>
                  <w:tcW w:w="591"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0.00003</w:t>
                  </w:r>
                </w:p>
              </w:tc>
              <w:tc>
                <w:tcPr>
                  <w:tcW w:w="737" w:type="pct"/>
                  <w:tcBorders>
                    <w:tl2br w:val="nil"/>
                    <w:tr2bl w:val="nil"/>
                  </w:tcBorders>
                  <w:noWrap w:val="0"/>
                  <w:vAlign w:val="center"/>
                </w:tcPr>
                <w:p>
                  <w:pPr>
                    <w:snapToGrid w:val="0"/>
                    <w:jc w:val="center"/>
                    <w:rPr>
                      <w:rFonts w:hint="eastAsia" w:ascii="Times New Roman" w:hAnsi="Times New Roman" w:cs="Times New Roman"/>
                      <w:bCs/>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Times New Roman" w:hAnsi="Times New Roman" w:cs="Times New Roman"/>
                <w:color w:val="auto"/>
                <w:sz w:val="24"/>
                <w:szCs w:val="24"/>
                <w:lang w:val="zh-CN"/>
              </w:rPr>
              <w:t>综上所述，本项目排放的</w:t>
            </w:r>
            <w:r>
              <w:rPr>
                <w:rFonts w:hint="default" w:ascii="Times New Roman" w:hAnsi="Times New Roman" w:cs="Times New Roman"/>
                <w:color w:val="auto"/>
                <w:sz w:val="24"/>
                <w:szCs w:val="24"/>
              </w:rPr>
              <w:t>氯化氢、硫酸雾</w:t>
            </w:r>
            <w:r>
              <w:rPr>
                <w:rFonts w:hint="eastAsia" w:ascii="Times New Roman" w:hAnsi="Times New Roman" w:cs="Times New Roman"/>
                <w:color w:val="auto"/>
                <w:sz w:val="24"/>
                <w:szCs w:val="24"/>
                <w:lang w:eastAsia="zh-CN"/>
              </w:rPr>
              <w:t>排放速率及排放浓度均满足</w:t>
            </w:r>
            <w:r>
              <w:rPr>
                <w:rFonts w:hint="default" w:ascii="Times New Roman" w:hAnsi="Times New Roman" w:cs="Times New Roman"/>
                <w:color w:val="auto"/>
                <w:sz w:val="24"/>
                <w:szCs w:val="24"/>
              </w:rPr>
              <w:t>《大气污染物综合排放标准》（GB16297-1996）表2中相关标准要求</w:t>
            </w:r>
            <w:r>
              <w:rPr>
                <w:color w:val="auto"/>
                <w:sz w:val="24"/>
              </w:rPr>
              <w:t>。</w:t>
            </w:r>
          </w:p>
          <w:p>
            <w:pPr>
              <w:spacing w:line="360" w:lineRule="auto"/>
              <w:rPr>
                <w:b/>
                <w:bCs/>
                <w:sz w:val="24"/>
              </w:rPr>
            </w:pPr>
            <w:r>
              <w:rPr>
                <w:b/>
                <w:bCs/>
                <w:sz w:val="24"/>
              </w:rPr>
              <w:t>监测计划</w:t>
            </w:r>
          </w:p>
          <w:p>
            <w:pPr>
              <w:pStyle w:val="2"/>
              <w:ind w:firstLine="480"/>
              <w:rPr>
                <w:b/>
                <w:bCs/>
                <w:lang w:val="en-US" w:eastAsia="zh-CN"/>
              </w:rPr>
            </w:pPr>
            <w:r>
              <w:rPr>
                <w:rFonts w:hint="eastAsia"/>
                <w:lang w:val="en-US" w:eastAsia="zh-CN"/>
              </w:rPr>
              <w:t>本项目无需申请</w:t>
            </w:r>
            <w:r>
              <w:rPr>
                <w:lang w:val="en-US" w:eastAsia="zh-CN"/>
              </w:rPr>
              <w:t>排污许可证</w:t>
            </w:r>
            <w:r>
              <w:rPr>
                <w:rFonts w:hint="eastAsia"/>
                <w:lang w:val="en-US" w:eastAsia="zh-CN"/>
              </w:rPr>
              <w:t>，故不制定监测计划。</w:t>
            </w:r>
          </w:p>
          <w:p>
            <w:pPr>
              <w:spacing w:line="360" w:lineRule="auto"/>
              <w:rPr>
                <w:b/>
                <w:bCs/>
                <w:sz w:val="24"/>
                <w:lang w:val="zh-CN"/>
              </w:rPr>
            </w:pPr>
            <w:r>
              <w:rPr>
                <w:b/>
                <w:bCs/>
                <w:sz w:val="24"/>
                <w:lang w:val="zh-CN"/>
              </w:rPr>
              <w:t>废气达标情况分析</w:t>
            </w:r>
          </w:p>
          <w:p>
            <w:pPr>
              <w:pStyle w:val="2"/>
              <w:spacing w:line="336" w:lineRule="auto"/>
              <w:ind w:firstLine="480"/>
              <w:rPr>
                <w:lang w:val="en-US" w:eastAsia="zh-CN"/>
              </w:rPr>
            </w:pPr>
            <w:r>
              <w:rPr>
                <w:rFonts w:hint="eastAsia"/>
                <w:lang w:val="en-US" w:eastAsia="zh-CN"/>
              </w:rPr>
              <w:t>食堂餐饮油烟经油烟净化设施处理后经专用烟道引至楼顶排放，排放浓度满足《饮食业油烟排放标准》（GB18483-2001）中型规模标准。食堂天然气燃烧产生的氮氧化物较少，对区域空气环境影响较小。</w:t>
            </w:r>
          </w:p>
          <w:p>
            <w:pPr>
              <w:pStyle w:val="2"/>
              <w:spacing w:line="336" w:lineRule="auto"/>
              <w:ind w:firstLine="480"/>
              <w:rPr>
                <w:lang w:val="en-US" w:eastAsia="zh-CN"/>
              </w:rPr>
            </w:pPr>
            <w:r>
              <w:rPr>
                <w:lang w:val="en-US" w:eastAsia="zh-CN"/>
              </w:rPr>
              <w:t>地下车库设有机械排风系统，汽车尾气集中抽气</w:t>
            </w:r>
            <w:r>
              <w:rPr>
                <w:rFonts w:hint="eastAsia"/>
                <w:lang w:val="en-US" w:eastAsia="zh-CN"/>
              </w:rPr>
              <w:t>（每小时换气6次）</w:t>
            </w:r>
            <w:r>
              <w:rPr>
                <w:lang w:val="en-US" w:eastAsia="zh-CN"/>
              </w:rPr>
              <w:t>，通过竖井引至车库外绿化带离地约2.5m高排气筒排放，尾气中NO</w:t>
            </w:r>
            <w:r>
              <w:rPr>
                <w:vertAlign w:val="subscript"/>
                <w:lang w:val="en-US" w:eastAsia="zh-CN"/>
              </w:rPr>
              <w:t>x</w:t>
            </w:r>
            <w:r>
              <w:rPr>
                <w:lang w:val="en-US" w:eastAsia="zh-CN"/>
              </w:rPr>
              <w:t>、HC、CO对区域空气环境影响较小。</w:t>
            </w:r>
          </w:p>
          <w:p>
            <w:pPr>
              <w:spacing w:line="336" w:lineRule="auto"/>
              <w:ind w:firstLine="480"/>
              <w:rPr>
                <w:color w:val="auto"/>
                <w:sz w:val="24"/>
              </w:rPr>
            </w:pPr>
            <w:r>
              <w:rPr>
                <w:rFonts w:hint="eastAsia"/>
                <w:color w:val="auto"/>
                <w:sz w:val="24"/>
              </w:rPr>
              <w:t>地面停车场</w:t>
            </w:r>
            <w:r>
              <w:rPr>
                <w:color w:val="auto"/>
                <w:sz w:val="24"/>
              </w:rPr>
              <w:t>进出车辆在区内行驶距离较短，尾气排放量较小，</w:t>
            </w:r>
            <w:r>
              <w:rPr>
                <w:rFonts w:hint="eastAsia"/>
                <w:color w:val="auto"/>
                <w:sz w:val="24"/>
              </w:rPr>
              <w:t>对区域空气环境影响较小。</w:t>
            </w:r>
          </w:p>
          <w:p>
            <w:pPr>
              <w:pStyle w:val="2"/>
              <w:spacing w:line="336" w:lineRule="auto"/>
              <w:ind w:firstLine="480"/>
              <w:rPr>
                <w:color w:val="auto"/>
                <w:szCs w:val="24"/>
                <w:lang w:val="en-US" w:eastAsia="zh-CN"/>
              </w:rPr>
            </w:pPr>
            <w:r>
              <w:rPr>
                <w:rFonts w:hint="eastAsia"/>
                <w:color w:val="auto"/>
                <w:sz w:val="24"/>
              </w:rPr>
              <w:t>实验室安装</w:t>
            </w:r>
            <w:r>
              <w:rPr>
                <w:rFonts w:hint="eastAsia"/>
                <w:color w:val="auto"/>
                <w:sz w:val="24"/>
                <w:lang w:val="en-US" w:eastAsia="zh-CN"/>
              </w:rPr>
              <w:t>1台</w:t>
            </w:r>
            <w:r>
              <w:rPr>
                <w:rFonts w:hint="eastAsia"/>
                <w:color w:val="auto"/>
                <w:sz w:val="24"/>
              </w:rPr>
              <w:t>专用通风橱，产生挥发性气体的试剂配制</w:t>
            </w:r>
            <w:r>
              <w:rPr>
                <w:rFonts w:hint="eastAsia"/>
                <w:color w:val="auto"/>
                <w:sz w:val="24"/>
                <w:lang w:val="en-US" w:eastAsia="zh-CN"/>
              </w:rPr>
              <w:t>过程全部</w:t>
            </w:r>
            <w:r>
              <w:rPr>
                <w:rFonts w:hint="eastAsia"/>
                <w:color w:val="auto"/>
                <w:sz w:val="24"/>
              </w:rPr>
              <w:t>在通风橱内进行，</w:t>
            </w:r>
            <w:r>
              <w:rPr>
                <w:rFonts w:hint="eastAsia"/>
                <w:color w:val="auto"/>
                <w:sz w:val="24"/>
                <w:lang w:val="en-US" w:eastAsia="zh-CN"/>
              </w:rPr>
              <w:t>配制过程产生的废气经通风橱</w:t>
            </w:r>
            <w:r>
              <w:rPr>
                <w:rFonts w:hint="eastAsia"/>
                <w:color w:val="auto"/>
                <w:sz w:val="24"/>
              </w:rPr>
              <w:t>收集后通过</w:t>
            </w:r>
            <w:r>
              <w:rPr>
                <w:rFonts w:hint="eastAsia"/>
                <w:color w:val="auto"/>
                <w:sz w:val="24"/>
                <w:lang w:val="en-US" w:eastAsia="zh-CN"/>
              </w:rPr>
              <w:t>15</w:t>
            </w:r>
            <w:r>
              <w:rPr>
                <w:rFonts w:hint="eastAsia"/>
                <w:color w:val="auto"/>
                <w:sz w:val="24"/>
              </w:rPr>
              <w:t>m</w:t>
            </w:r>
            <w:r>
              <w:rPr>
                <w:rFonts w:hint="eastAsia"/>
                <w:color w:val="auto"/>
                <w:sz w:val="24"/>
                <w:lang w:val="en-US" w:eastAsia="zh-CN"/>
              </w:rPr>
              <w:t>高</w:t>
            </w:r>
            <w:r>
              <w:rPr>
                <w:rFonts w:hint="eastAsia"/>
                <w:color w:val="auto"/>
                <w:sz w:val="24"/>
              </w:rPr>
              <w:t>排气筒排放</w:t>
            </w:r>
            <w:r>
              <w:rPr>
                <w:rFonts w:hint="eastAsia"/>
                <w:color w:val="auto"/>
                <w:sz w:val="24"/>
                <w:lang w:eastAsia="zh-CN"/>
              </w:rPr>
              <w:t>。</w:t>
            </w:r>
            <w:r>
              <w:rPr>
                <w:color w:val="auto"/>
                <w:sz w:val="24"/>
              </w:rPr>
              <w:t>由于本项目</w:t>
            </w:r>
            <w:r>
              <w:rPr>
                <w:rFonts w:hint="eastAsia"/>
                <w:color w:val="auto"/>
                <w:sz w:val="24"/>
                <w:lang w:val="en-US" w:eastAsia="zh-CN"/>
              </w:rPr>
              <w:t>实验室</w:t>
            </w:r>
            <w:r>
              <w:rPr>
                <w:color w:val="auto"/>
                <w:sz w:val="24"/>
              </w:rPr>
              <w:t>实验药品</w:t>
            </w:r>
            <w:r>
              <w:rPr>
                <w:rFonts w:hint="eastAsia"/>
                <w:color w:val="auto"/>
                <w:sz w:val="24"/>
                <w:lang w:val="en-US" w:eastAsia="zh-CN"/>
              </w:rPr>
              <w:t>的</w:t>
            </w:r>
            <w:r>
              <w:rPr>
                <w:color w:val="auto"/>
                <w:sz w:val="24"/>
              </w:rPr>
              <w:t>使用量较小</w:t>
            </w:r>
            <w:r>
              <w:rPr>
                <w:rFonts w:hint="eastAsia"/>
                <w:color w:val="auto"/>
                <w:sz w:val="24"/>
                <w:lang w:eastAsia="zh-CN"/>
              </w:rPr>
              <w:t>，</w:t>
            </w:r>
            <w:r>
              <w:rPr>
                <w:rFonts w:hint="eastAsia"/>
                <w:color w:val="auto"/>
                <w:sz w:val="24"/>
                <w:lang w:val="en-US" w:eastAsia="zh-CN"/>
              </w:rPr>
              <w:t>所以本项目实验室</w:t>
            </w:r>
            <w:r>
              <w:rPr>
                <w:color w:val="auto"/>
                <w:sz w:val="24"/>
              </w:rPr>
              <w:t>废气产生量较少</w:t>
            </w:r>
            <w:r>
              <w:rPr>
                <w:rFonts w:hint="eastAsia"/>
                <w:color w:val="auto"/>
                <w:sz w:val="24"/>
                <w:lang w:eastAsia="zh-CN"/>
              </w:rPr>
              <w:t>。</w:t>
            </w:r>
            <w:r>
              <w:rPr>
                <w:rFonts w:hint="eastAsia"/>
                <w:color w:val="auto"/>
                <w:sz w:val="24"/>
                <w:lang w:val="en-US" w:eastAsia="zh-CN"/>
              </w:rPr>
              <w:t>实验室废气由通风橱收集后通过15m高排气筒排放，对</w:t>
            </w:r>
            <w:r>
              <w:rPr>
                <w:rFonts w:hint="eastAsia"/>
                <w:color w:val="auto"/>
                <w:sz w:val="24"/>
              </w:rPr>
              <w:t>周围环境影响较小</w:t>
            </w:r>
            <w:r>
              <w:rPr>
                <w:rFonts w:hint="eastAsia"/>
                <w:color w:val="auto"/>
                <w:szCs w:val="24"/>
                <w:lang w:val="en-US" w:eastAsia="zh-CN"/>
              </w:rPr>
              <w:t>。</w:t>
            </w:r>
          </w:p>
          <w:p>
            <w:pPr>
              <w:spacing w:line="360" w:lineRule="auto"/>
              <w:ind w:firstLine="480" w:firstLineChars="200"/>
              <w:rPr>
                <w:b/>
                <w:bCs/>
              </w:rPr>
            </w:pPr>
            <w:r>
              <w:rPr>
                <w:color w:val="auto"/>
                <w:sz w:val="24"/>
              </w:rPr>
              <w:t>综上所述，本项目废气经过处理后均可达标排放，对周围环境影</w:t>
            </w:r>
            <w:r>
              <w:rPr>
                <w:sz w:val="24"/>
              </w:rPr>
              <w:t>响可接受。</w:t>
            </w:r>
          </w:p>
        </w:tc>
      </w:tr>
    </w:tbl>
    <w:p>
      <w:pPr>
        <w:pStyle w:val="19"/>
        <w:jc w:val="center"/>
        <w:outlineLvl w:val="0"/>
        <w:rPr>
          <w:rFonts w:ascii="黑体" w:hAnsi="黑体"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1"/>
        <w:tblW w:w="4999"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4702"/>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8" w:hRule="atLeast"/>
          <w:jc w:val="center"/>
        </w:trPr>
        <w:tc>
          <w:tcPr>
            <w:tcW w:w="267" w:type="pct"/>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4732" w:type="pct"/>
          </w:tcPr>
          <w:p>
            <w:pPr>
              <w:spacing w:line="480" w:lineRule="exact"/>
              <w:rPr>
                <w:b/>
                <w:sz w:val="28"/>
                <w:szCs w:val="28"/>
              </w:rPr>
            </w:pPr>
            <w:r>
              <w:rPr>
                <w:rFonts w:hint="eastAsia"/>
                <w:b/>
                <w:sz w:val="28"/>
                <w:szCs w:val="28"/>
              </w:rPr>
              <w:t>2</w:t>
            </w:r>
            <w:r>
              <w:rPr>
                <w:b/>
                <w:sz w:val="28"/>
                <w:szCs w:val="28"/>
              </w:rPr>
              <w:t>、</w:t>
            </w:r>
            <w:r>
              <w:rPr>
                <w:rFonts w:hint="eastAsia"/>
                <w:b/>
                <w:sz w:val="28"/>
                <w:szCs w:val="28"/>
              </w:rPr>
              <w:t>废水</w:t>
            </w:r>
          </w:p>
          <w:p>
            <w:pPr>
              <w:spacing w:line="360" w:lineRule="auto"/>
              <w:ind w:firstLine="480" w:firstLineChars="200"/>
              <w:rPr>
                <w:sz w:val="24"/>
                <w:lang w:val="zh-CN"/>
              </w:rPr>
            </w:pPr>
            <w:r>
              <w:rPr>
                <w:sz w:val="24"/>
                <w:lang w:val="zh-CN"/>
              </w:rPr>
              <w:t>（</w:t>
            </w:r>
            <w:r>
              <w:rPr>
                <w:sz w:val="24"/>
              </w:rPr>
              <w:t>1</w:t>
            </w:r>
            <w:r>
              <w:rPr>
                <w:sz w:val="24"/>
                <w:lang w:val="zh-CN"/>
              </w:rPr>
              <w:t>）源强核算</w:t>
            </w:r>
          </w:p>
          <w:p>
            <w:pPr>
              <w:snapToGrid w:val="0"/>
              <w:spacing w:line="360" w:lineRule="auto"/>
              <w:ind w:firstLine="480" w:firstLineChars="200"/>
              <w:rPr>
                <w:sz w:val="24"/>
                <w:lang w:val="zh-CN"/>
              </w:rPr>
            </w:pPr>
            <w:r>
              <w:rPr>
                <w:rFonts w:hint="eastAsia"/>
                <w:sz w:val="24"/>
              </w:rPr>
              <w:t>本项目用水主要为生活用水、食堂餐饮用水、实验用水及绿化用水。</w:t>
            </w:r>
            <w:r>
              <w:rPr>
                <w:rFonts w:hint="eastAsia"/>
                <w:sz w:val="24"/>
                <w:lang w:val="zh-CN"/>
              </w:rPr>
              <w:t>根据水平衡分析（</w:t>
            </w:r>
            <w:r>
              <w:rPr>
                <w:sz w:val="24"/>
              </w:rPr>
              <w:t>详见表</w:t>
            </w:r>
            <w:r>
              <w:rPr>
                <w:rFonts w:hint="eastAsia"/>
                <w:sz w:val="24"/>
              </w:rPr>
              <w:t>2-4、图2-1</w:t>
            </w:r>
            <w:r>
              <w:rPr>
                <w:rFonts w:hint="eastAsia"/>
                <w:sz w:val="24"/>
                <w:lang w:val="zh-CN"/>
              </w:rPr>
              <w:t>），</w:t>
            </w:r>
            <w:r>
              <w:rPr>
                <w:sz w:val="24"/>
                <w:lang w:val="zh-CN"/>
              </w:rPr>
              <w:t>拟建项目建成后全</w:t>
            </w:r>
            <w:r>
              <w:rPr>
                <w:rStyle w:val="27"/>
                <w:rFonts w:hint="eastAsia"/>
                <w:kern w:val="0"/>
                <w:szCs w:val="20"/>
                <w:lang w:val="en-US" w:eastAsia="zh-CN"/>
              </w:rPr>
              <w:t>校</w:t>
            </w:r>
            <w:r>
              <w:rPr>
                <w:rFonts w:hint="eastAsia"/>
                <w:sz w:val="24"/>
                <w:lang w:val="zh-CN"/>
              </w:rPr>
              <w:t>废水</w:t>
            </w:r>
            <w:r>
              <w:rPr>
                <w:sz w:val="24"/>
                <w:lang w:val="zh-CN"/>
              </w:rPr>
              <w:t>产排情况详见表</w:t>
            </w:r>
            <w:r>
              <w:rPr>
                <w:rFonts w:hint="eastAsia"/>
                <w:sz w:val="24"/>
              </w:rPr>
              <w:t>4</w:t>
            </w:r>
            <w:r>
              <w:rPr>
                <w:sz w:val="24"/>
                <w:lang w:val="zh-CN"/>
              </w:rPr>
              <w:t>-</w:t>
            </w:r>
            <w:r>
              <w:rPr>
                <w:rFonts w:hint="eastAsia"/>
                <w:sz w:val="24"/>
              </w:rPr>
              <w:t>2</w:t>
            </w:r>
            <w:r>
              <w:rPr>
                <w:sz w:val="24"/>
                <w:lang w:val="zh-CN"/>
              </w:rPr>
              <w:t>。</w:t>
            </w:r>
          </w:p>
          <w:p>
            <w:pPr>
              <w:pStyle w:val="48"/>
              <w:spacing w:line="320" w:lineRule="exact"/>
              <w:ind w:firstLine="0" w:firstLineChars="0"/>
              <w:jc w:val="center"/>
              <w:rPr>
                <w:rFonts w:eastAsia="宋体"/>
                <w:b/>
                <w:bCs/>
              </w:rPr>
            </w:pPr>
            <w:r>
              <w:rPr>
                <w:rFonts w:eastAsia="宋体"/>
                <w:b/>
                <w:bCs/>
              </w:rPr>
              <w:t>表</w:t>
            </w:r>
            <w:r>
              <w:rPr>
                <w:rFonts w:hint="eastAsia" w:eastAsia="宋体"/>
                <w:b/>
                <w:bCs/>
              </w:rPr>
              <w:t>4</w:t>
            </w:r>
            <w:r>
              <w:rPr>
                <w:rFonts w:eastAsia="宋体"/>
                <w:b/>
                <w:bCs/>
              </w:rPr>
              <w:t>-</w:t>
            </w:r>
            <w:r>
              <w:rPr>
                <w:rFonts w:hint="eastAsia" w:eastAsia="宋体"/>
                <w:b/>
                <w:bCs/>
                <w:lang w:val="en-US" w:eastAsia="zh-CN"/>
              </w:rPr>
              <w:t>3</w:t>
            </w:r>
            <w:r>
              <w:rPr>
                <w:rFonts w:eastAsia="宋体"/>
                <w:b/>
                <w:bCs/>
              </w:rPr>
              <w:t xml:space="preserve">  全</w:t>
            </w:r>
            <w:r>
              <w:rPr>
                <w:rFonts w:hint="eastAsia" w:eastAsia="宋体"/>
                <w:b/>
                <w:bCs/>
                <w:lang w:val="en-US" w:eastAsia="zh-CN"/>
              </w:rPr>
              <w:t>校</w:t>
            </w:r>
            <w:r>
              <w:rPr>
                <w:rFonts w:hint="eastAsia" w:eastAsia="宋体"/>
                <w:b/>
                <w:bCs/>
              </w:rPr>
              <w:t>废水</w:t>
            </w:r>
            <w:r>
              <w:rPr>
                <w:rFonts w:eastAsia="宋体"/>
                <w:b/>
                <w:bCs/>
              </w:rPr>
              <w:t>产排情况一览表</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74"/>
              <w:gridCol w:w="279"/>
              <w:gridCol w:w="753"/>
              <w:gridCol w:w="871"/>
              <w:gridCol w:w="660"/>
              <w:gridCol w:w="657"/>
              <w:gridCol w:w="357"/>
              <w:gridCol w:w="400"/>
              <w:gridCol w:w="458"/>
              <w:gridCol w:w="675"/>
              <w:gridCol w:w="897"/>
              <w:gridCol w:w="701"/>
              <w:gridCol w:w="626"/>
              <w:gridCol w:w="660"/>
              <w:gridCol w:w="796"/>
              <w:gridCol w:w="847"/>
              <w:gridCol w:w="532"/>
              <w:gridCol w:w="888"/>
              <w:gridCol w:w="1064"/>
              <w:gridCol w:w="1090"/>
              <w:gridCol w:w="8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129" w:type="pct"/>
                  <w:vMerge w:val="restart"/>
                  <w:vAlign w:val="center"/>
                </w:tcPr>
                <w:p>
                  <w:pPr>
                    <w:jc w:val="center"/>
                    <w:rPr>
                      <w:b/>
                      <w:bCs/>
                      <w:sz w:val="18"/>
                      <w:szCs w:val="18"/>
                    </w:rPr>
                  </w:pPr>
                  <w:r>
                    <w:rPr>
                      <w:b/>
                      <w:bCs/>
                      <w:sz w:val="18"/>
                      <w:szCs w:val="18"/>
                    </w:rPr>
                    <w:t>产排污</w:t>
                  </w:r>
                </w:p>
                <w:p>
                  <w:pPr>
                    <w:jc w:val="center"/>
                    <w:rPr>
                      <w:b/>
                      <w:bCs/>
                      <w:sz w:val="18"/>
                      <w:szCs w:val="18"/>
                    </w:rPr>
                  </w:pPr>
                  <w:r>
                    <w:rPr>
                      <w:b/>
                      <w:bCs/>
                      <w:sz w:val="18"/>
                      <w:szCs w:val="18"/>
                    </w:rPr>
                    <w:t>环节</w:t>
                  </w:r>
                </w:p>
              </w:tc>
              <w:tc>
                <w:tcPr>
                  <w:tcW w:w="96" w:type="pct"/>
                  <w:vMerge w:val="restart"/>
                  <w:vAlign w:val="center"/>
                </w:tcPr>
                <w:p>
                  <w:pPr>
                    <w:jc w:val="center"/>
                    <w:rPr>
                      <w:b/>
                      <w:bCs/>
                      <w:sz w:val="18"/>
                      <w:szCs w:val="18"/>
                    </w:rPr>
                  </w:pPr>
                  <w:r>
                    <w:rPr>
                      <w:rFonts w:hint="eastAsia"/>
                      <w:b/>
                      <w:bCs/>
                      <w:sz w:val="18"/>
                      <w:szCs w:val="18"/>
                    </w:rPr>
                    <w:t>类别</w:t>
                  </w:r>
                </w:p>
              </w:tc>
              <w:tc>
                <w:tcPr>
                  <w:tcW w:w="260" w:type="pct"/>
                  <w:vMerge w:val="restart"/>
                  <w:vAlign w:val="center"/>
                </w:tcPr>
                <w:p>
                  <w:pPr>
                    <w:jc w:val="center"/>
                    <w:rPr>
                      <w:b/>
                      <w:bCs/>
                      <w:sz w:val="18"/>
                      <w:szCs w:val="18"/>
                    </w:rPr>
                  </w:pPr>
                  <w:r>
                    <w:rPr>
                      <w:b/>
                      <w:bCs/>
                      <w:sz w:val="18"/>
                      <w:szCs w:val="18"/>
                    </w:rPr>
                    <w:t>污染物</w:t>
                  </w:r>
                </w:p>
                <w:p>
                  <w:pPr>
                    <w:jc w:val="center"/>
                    <w:rPr>
                      <w:b/>
                      <w:bCs/>
                      <w:sz w:val="18"/>
                      <w:szCs w:val="18"/>
                    </w:rPr>
                  </w:pPr>
                  <w:r>
                    <w:rPr>
                      <w:b/>
                      <w:bCs/>
                      <w:sz w:val="18"/>
                      <w:szCs w:val="18"/>
                    </w:rPr>
                    <w:t>种类</w:t>
                  </w:r>
                </w:p>
              </w:tc>
              <w:tc>
                <w:tcPr>
                  <w:tcW w:w="529" w:type="pct"/>
                  <w:gridSpan w:val="2"/>
                  <w:vAlign w:val="center"/>
                </w:tcPr>
                <w:p>
                  <w:pPr>
                    <w:jc w:val="center"/>
                    <w:rPr>
                      <w:b/>
                      <w:bCs/>
                      <w:sz w:val="18"/>
                      <w:szCs w:val="18"/>
                    </w:rPr>
                  </w:pPr>
                  <w:r>
                    <w:rPr>
                      <w:b/>
                      <w:bCs/>
                      <w:sz w:val="18"/>
                      <w:szCs w:val="18"/>
                    </w:rPr>
                    <w:t>产生情况</w:t>
                  </w:r>
                </w:p>
              </w:tc>
              <w:tc>
                <w:tcPr>
                  <w:tcW w:w="646" w:type="pct"/>
                  <w:gridSpan w:val="4"/>
                  <w:vAlign w:val="center"/>
                </w:tcPr>
                <w:p>
                  <w:pPr>
                    <w:jc w:val="center"/>
                    <w:rPr>
                      <w:b/>
                      <w:bCs/>
                      <w:sz w:val="18"/>
                      <w:szCs w:val="18"/>
                    </w:rPr>
                  </w:pPr>
                  <w:r>
                    <w:rPr>
                      <w:rFonts w:hint="eastAsia"/>
                      <w:b/>
                      <w:bCs/>
                      <w:sz w:val="18"/>
                      <w:szCs w:val="18"/>
                    </w:rPr>
                    <w:t>治理设施</w:t>
                  </w:r>
                </w:p>
              </w:tc>
              <w:tc>
                <w:tcPr>
                  <w:tcW w:w="233" w:type="pct"/>
                  <w:vMerge w:val="restart"/>
                  <w:vAlign w:val="center"/>
                </w:tcPr>
                <w:p>
                  <w:pPr>
                    <w:jc w:val="center"/>
                    <w:rPr>
                      <w:b/>
                      <w:bCs/>
                      <w:sz w:val="18"/>
                      <w:szCs w:val="18"/>
                    </w:rPr>
                  </w:pPr>
                  <w:r>
                    <w:rPr>
                      <w:rFonts w:hint="eastAsia"/>
                      <w:b/>
                      <w:bCs/>
                      <w:sz w:val="18"/>
                      <w:szCs w:val="18"/>
                    </w:rPr>
                    <w:t>废水</w:t>
                  </w:r>
                  <w:r>
                    <w:rPr>
                      <w:b/>
                      <w:bCs/>
                      <w:sz w:val="18"/>
                      <w:szCs w:val="18"/>
                    </w:rPr>
                    <w:t>排放量</w:t>
                  </w:r>
                </w:p>
                <w:p>
                  <w:pPr>
                    <w:jc w:val="center"/>
                    <w:rPr>
                      <w:b/>
                      <w:bCs/>
                      <w:sz w:val="18"/>
                      <w:szCs w:val="18"/>
                    </w:rPr>
                  </w:pPr>
                  <w:r>
                    <w:rPr>
                      <w:b/>
                      <w:bCs/>
                      <w:sz w:val="18"/>
                      <w:szCs w:val="18"/>
                    </w:rPr>
                    <w:t>（t/a）</w:t>
                  </w:r>
                </w:p>
              </w:tc>
              <w:tc>
                <w:tcPr>
                  <w:tcW w:w="552" w:type="pct"/>
                  <w:gridSpan w:val="2"/>
                  <w:vAlign w:val="center"/>
                </w:tcPr>
                <w:p>
                  <w:pPr>
                    <w:jc w:val="center"/>
                    <w:rPr>
                      <w:b/>
                      <w:bCs/>
                      <w:sz w:val="18"/>
                      <w:szCs w:val="18"/>
                    </w:rPr>
                  </w:pPr>
                  <w:r>
                    <w:rPr>
                      <w:b/>
                      <w:bCs/>
                      <w:sz w:val="18"/>
                      <w:szCs w:val="18"/>
                    </w:rPr>
                    <w:t>排放情况</w:t>
                  </w:r>
                </w:p>
              </w:tc>
              <w:tc>
                <w:tcPr>
                  <w:tcW w:w="216" w:type="pct"/>
                  <w:vMerge w:val="restart"/>
                  <w:vAlign w:val="center"/>
                </w:tcPr>
                <w:p>
                  <w:pPr>
                    <w:jc w:val="center"/>
                    <w:rPr>
                      <w:b/>
                      <w:bCs/>
                      <w:sz w:val="18"/>
                      <w:szCs w:val="18"/>
                    </w:rPr>
                  </w:pPr>
                  <w:r>
                    <w:rPr>
                      <w:rFonts w:hint="eastAsia"/>
                      <w:b/>
                      <w:bCs/>
                      <w:sz w:val="18"/>
                      <w:szCs w:val="18"/>
                    </w:rPr>
                    <w:t>排放</w:t>
                  </w:r>
                </w:p>
                <w:p>
                  <w:pPr>
                    <w:jc w:val="center"/>
                    <w:rPr>
                      <w:b/>
                      <w:bCs/>
                      <w:sz w:val="18"/>
                      <w:szCs w:val="18"/>
                    </w:rPr>
                  </w:pPr>
                  <w:r>
                    <w:rPr>
                      <w:rFonts w:hint="eastAsia"/>
                      <w:b/>
                      <w:bCs/>
                      <w:sz w:val="18"/>
                      <w:szCs w:val="18"/>
                    </w:rPr>
                    <w:t>方式</w:t>
                  </w:r>
                </w:p>
              </w:tc>
              <w:tc>
                <w:tcPr>
                  <w:tcW w:w="228" w:type="pct"/>
                  <w:vMerge w:val="restart"/>
                  <w:vAlign w:val="center"/>
                </w:tcPr>
                <w:p>
                  <w:pPr>
                    <w:jc w:val="center"/>
                    <w:rPr>
                      <w:b/>
                      <w:bCs/>
                      <w:sz w:val="18"/>
                      <w:szCs w:val="18"/>
                    </w:rPr>
                  </w:pPr>
                  <w:r>
                    <w:rPr>
                      <w:rFonts w:hint="eastAsia"/>
                      <w:b/>
                      <w:bCs/>
                      <w:sz w:val="18"/>
                      <w:szCs w:val="18"/>
                    </w:rPr>
                    <w:t>排放</w:t>
                  </w:r>
                </w:p>
                <w:p>
                  <w:pPr>
                    <w:jc w:val="center"/>
                    <w:rPr>
                      <w:b/>
                      <w:bCs/>
                      <w:sz w:val="18"/>
                      <w:szCs w:val="18"/>
                    </w:rPr>
                  </w:pPr>
                  <w:r>
                    <w:rPr>
                      <w:rFonts w:hint="eastAsia"/>
                      <w:b/>
                      <w:bCs/>
                      <w:sz w:val="18"/>
                      <w:szCs w:val="18"/>
                    </w:rPr>
                    <w:t>去向</w:t>
                  </w:r>
                </w:p>
              </w:tc>
              <w:tc>
                <w:tcPr>
                  <w:tcW w:w="275" w:type="pct"/>
                  <w:vMerge w:val="restart"/>
                  <w:vAlign w:val="center"/>
                </w:tcPr>
                <w:p>
                  <w:pPr>
                    <w:jc w:val="center"/>
                    <w:rPr>
                      <w:b/>
                      <w:bCs/>
                      <w:sz w:val="18"/>
                      <w:szCs w:val="18"/>
                    </w:rPr>
                  </w:pPr>
                  <w:r>
                    <w:rPr>
                      <w:rFonts w:hint="eastAsia"/>
                      <w:b/>
                      <w:bCs/>
                      <w:sz w:val="18"/>
                      <w:szCs w:val="18"/>
                    </w:rPr>
                    <w:t>排放</w:t>
                  </w:r>
                </w:p>
                <w:p>
                  <w:pPr>
                    <w:jc w:val="center"/>
                    <w:rPr>
                      <w:b/>
                      <w:bCs/>
                      <w:sz w:val="18"/>
                      <w:szCs w:val="18"/>
                    </w:rPr>
                  </w:pPr>
                  <w:r>
                    <w:rPr>
                      <w:rFonts w:hint="eastAsia"/>
                      <w:b/>
                      <w:bCs/>
                      <w:sz w:val="18"/>
                      <w:szCs w:val="18"/>
                    </w:rPr>
                    <w:t>规律</w:t>
                  </w:r>
                </w:p>
              </w:tc>
              <w:tc>
                <w:tcPr>
                  <w:tcW w:w="1152" w:type="pct"/>
                  <w:gridSpan w:val="4"/>
                  <w:vAlign w:val="center"/>
                </w:tcPr>
                <w:p>
                  <w:pPr>
                    <w:jc w:val="center"/>
                    <w:rPr>
                      <w:b/>
                      <w:bCs/>
                      <w:sz w:val="18"/>
                      <w:szCs w:val="18"/>
                    </w:rPr>
                  </w:pPr>
                  <w:r>
                    <w:rPr>
                      <w:b/>
                      <w:bCs/>
                      <w:sz w:val="18"/>
                      <w:szCs w:val="18"/>
                    </w:rPr>
                    <w:t>排放口基本情况</w:t>
                  </w:r>
                </w:p>
              </w:tc>
              <w:tc>
                <w:tcPr>
                  <w:tcW w:w="679" w:type="pct"/>
                  <w:gridSpan w:val="2"/>
                  <w:vAlign w:val="center"/>
                </w:tcPr>
                <w:p>
                  <w:pPr>
                    <w:jc w:val="center"/>
                    <w:rPr>
                      <w:b/>
                      <w:bCs/>
                      <w:sz w:val="18"/>
                      <w:szCs w:val="18"/>
                    </w:rPr>
                  </w:pPr>
                  <w:r>
                    <w:rPr>
                      <w:rFonts w:hint="eastAsia"/>
                      <w:b/>
                      <w:bCs/>
                      <w:sz w:val="18"/>
                      <w:szCs w:val="18"/>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2" w:hRule="atLeast"/>
                <w:jc w:val="center"/>
              </w:trPr>
              <w:tc>
                <w:tcPr>
                  <w:tcW w:w="129" w:type="pct"/>
                  <w:vMerge w:val="continue"/>
                  <w:vAlign w:val="center"/>
                </w:tcPr>
                <w:p>
                  <w:pPr>
                    <w:jc w:val="center"/>
                    <w:rPr>
                      <w:b/>
                      <w:bCs/>
                      <w:sz w:val="18"/>
                      <w:szCs w:val="18"/>
                    </w:rPr>
                  </w:pPr>
                </w:p>
              </w:tc>
              <w:tc>
                <w:tcPr>
                  <w:tcW w:w="96" w:type="pct"/>
                  <w:vMerge w:val="continue"/>
                  <w:vAlign w:val="center"/>
                </w:tcPr>
                <w:p>
                  <w:pPr>
                    <w:jc w:val="center"/>
                    <w:rPr>
                      <w:b/>
                      <w:bCs/>
                      <w:sz w:val="18"/>
                      <w:szCs w:val="18"/>
                    </w:rPr>
                  </w:pPr>
                </w:p>
              </w:tc>
              <w:tc>
                <w:tcPr>
                  <w:tcW w:w="260" w:type="pct"/>
                  <w:vMerge w:val="continue"/>
                  <w:vAlign w:val="center"/>
                </w:tcPr>
                <w:p>
                  <w:pPr>
                    <w:jc w:val="center"/>
                    <w:rPr>
                      <w:b/>
                      <w:bCs/>
                      <w:sz w:val="18"/>
                      <w:szCs w:val="18"/>
                    </w:rPr>
                  </w:pPr>
                </w:p>
              </w:tc>
              <w:tc>
                <w:tcPr>
                  <w:tcW w:w="301" w:type="pct"/>
                  <w:vMerge w:val="restart"/>
                  <w:vAlign w:val="center"/>
                </w:tcPr>
                <w:p>
                  <w:pPr>
                    <w:jc w:val="center"/>
                    <w:rPr>
                      <w:b/>
                      <w:bCs/>
                      <w:sz w:val="18"/>
                      <w:szCs w:val="18"/>
                    </w:rPr>
                  </w:pPr>
                  <w:r>
                    <w:rPr>
                      <w:b/>
                      <w:bCs/>
                      <w:sz w:val="18"/>
                      <w:szCs w:val="18"/>
                    </w:rPr>
                    <w:t>产生</w:t>
                  </w:r>
                </w:p>
                <w:p>
                  <w:pPr>
                    <w:jc w:val="center"/>
                    <w:rPr>
                      <w:b/>
                      <w:bCs/>
                      <w:sz w:val="18"/>
                      <w:szCs w:val="18"/>
                    </w:rPr>
                  </w:pPr>
                  <w:r>
                    <w:rPr>
                      <w:b/>
                      <w:bCs/>
                      <w:sz w:val="18"/>
                      <w:szCs w:val="18"/>
                    </w:rPr>
                    <w:t>浓度（mg/</w:t>
                  </w:r>
                  <w:r>
                    <w:rPr>
                      <w:rFonts w:hint="eastAsia"/>
                      <w:b/>
                      <w:bCs/>
                      <w:sz w:val="18"/>
                      <w:szCs w:val="18"/>
                    </w:rPr>
                    <w:t>L</w:t>
                  </w:r>
                  <w:r>
                    <w:rPr>
                      <w:b/>
                      <w:bCs/>
                      <w:sz w:val="18"/>
                      <w:szCs w:val="18"/>
                    </w:rPr>
                    <w:t>）</w:t>
                  </w:r>
                </w:p>
              </w:tc>
              <w:tc>
                <w:tcPr>
                  <w:tcW w:w="228" w:type="pct"/>
                  <w:vMerge w:val="restart"/>
                  <w:vAlign w:val="center"/>
                </w:tcPr>
                <w:p>
                  <w:pPr>
                    <w:jc w:val="center"/>
                    <w:rPr>
                      <w:b/>
                      <w:bCs/>
                      <w:sz w:val="18"/>
                      <w:szCs w:val="18"/>
                    </w:rPr>
                  </w:pPr>
                  <w:r>
                    <w:rPr>
                      <w:b/>
                      <w:bCs/>
                      <w:sz w:val="18"/>
                      <w:szCs w:val="18"/>
                    </w:rPr>
                    <w:t>产生量</w:t>
                  </w:r>
                </w:p>
                <w:p>
                  <w:pPr>
                    <w:jc w:val="center"/>
                    <w:rPr>
                      <w:b/>
                      <w:bCs/>
                      <w:sz w:val="18"/>
                      <w:szCs w:val="18"/>
                    </w:rPr>
                  </w:pPr>
                  <w:r>
                    <w:rPr>
                      <w:b/>
                      <w:bCs/>
                      <w:sz w:val="18"/>
                      <w:szCs w:val="18"/>
                    </w:rPr>
                    <w:t>（t/a）</w:t>
                  </w:r>
                </w:p>
              </w:tc>
              <w:tc>
                <w:tcPr>
                  <w:tcW w:w="227" w:type="pct"/>
                  <w:vMerge w:val="restart"/>
                  <w:vAlign w:val="center"/>
                </w:tcPr>
                <w:p>
                  <w:pPr>
                    <w:jc w:val="center"/>
                    <w:rPr>
                      <w:b/>
                      <w:bCs/>
                      <w:sz w:val="18"/>
                      <w:szCs w:val="18"/>
                    </w:rPr>
                  </w:pPr>
                  <w:r>
                    <w:rPr>
                      <w:b/>
                      <w:bCs/>
                      <w:sz w:val="18"/>
                      <w:szCs w:val="18"/>
                    </w:rPr>
                    <w:t>处理能力</w:t>
                  </w:r>
                  <w:r>
                    <w:rPr>
                      <w:rFonts w:hint="eastAsia"/>
                      <w:b/>
                      <w:bCs/>
                      <w:sz w:val="18"/>
                      <w:szCs w:val="18"/>
                    </w:rPr>
                    <w:t>（t/d）</w:t>
                  </w:r>
                </w:p>
              </w:tc>
              <w:tc>
                <w:tcPr>
                  <w:tcW w:w="123" w:type="pct"/>
                  <w:vMerge w:val="restart"/>
                  <w:vAlign w:val="center"/>
                </w:tcPr>
                <w:p>
                  <w:pPr>
                    <w:jc w:val="center"/>
                    <w:rPr>
                      <w:b/>
                      <w:bCs/>
                      <w:sz w:val="18"/>
                      <w:szCs w:val="18"/>
                    </w:rPr>
                  </w:pPr>
                  <w:r>
                    <w:rPr>
                      <w:rFonts w:hint="eastAsia"/>
                      <w:b/>
                      <w:bCs/>
                      <w:sz w:val="18"/>
                      <w:szCs w:val="18"/>
                    </w:rPr>
                    <w:t>治理工艺</w:t>
                  </w:r>
                </w:p>
              </w:tc>
              <w:tc>
                <w:tcPr>
                  <w:tcW w:w="138" w:type="pct"/>
                  <w:vMerge w:val="restart"/>
                  <w:vAlign w:val="center"/>
                </w:tcPr>
                <w:p>
                  <w:pPr>
                    <w:jc w:val="center"/>
                    <w:rPr>
                      <w:b/>
                      <w:bCs/>
                      <w:sz w:val="18"/>
                      <w:szCs w:val="18"/>
                    </w:rPr>
                  </w:pPr>
                  <w:r>
                    <w:rPr>
                      <w:rFonts w:hint="eastAsia"/>
                      <w:b/>
                      <w:bCs/>
                      <w:sz w:val="18"/>
                      <w:szCs w:val="18"/>
                    </w:rPr>
                    <w:t>治理</w:t>
                  </w:r>
                  <w:r>
                    <w:rPr>
                      <w:b/>
                      <w:bCs/>
                      <w:sz w:val="18"/>
                      <w:szCs w:val="18"/>
                    </w:rPr>
                    <w:t>效率</w:t>
                  </w:r>
                </w:p>
              </w:tc>
              <w:tc>
                <w:tcPr>
                  <w:tcW w:w="157" w:type="pct"/>
                  <w:vMerge w:val="restart"/>
                  <w:vAlign w:val="center"/>
                </w:tcPr>
                <w:p>
                  <w:pPr>
                    <w:jc w:val="center"/>
                    <w:rPr>
                      <w:b/>
                      <w:bCs/>
                      <w:sz w:val="18"/>
                      <w:szCs w:val="18"/>
                    </w:rPr>
                  </w:pPr>
                  <w:r>
                    <w:rPr>
                      <w:b/>
                      <w:bCs/>
                      <w:sz w:val="18"/>
                      <w:szCs w:val="18"/>
                    </w:rPr>
                    <w:t>是否</w:t>
                  </w:r>
                </w:p>
                <w:p>
                  <w:pPr>
                    <w:jc w:val="center"/>
                    <w:rPr>
                      <w:b/>
                      <w:bCs/>
                      <w:sz w:val="18"/>
                      <w:szCs w:val="18"/>
                    </w:rPr>
                  </w:pPr>
                  <w:r>
                    <w:rPr>
                      <w:b/>
                      <w:bCs/>
                      <w:sz w:val="18"/>
                      <w:szCs w:val="18"/>
                    </w:rPr>
                    <w:t>为可行技术</w:t>
                  </w:r>
                </w:p>
              </w:tc>
              <w:tc>
                <w:tcPr>
                  <w:tcW w:w="233" w:type="pct"/>
                  <w:vMerge w:val="continue"/>
                  <w:vAlign w:val="center"/>
                </w:tcPr>
                <w:p>
                  <w:pPr>
                    <w:jc w:val="center"/>
                    <w:rPr>
                      <w:b/>
                      <w:bCs/>
                      <w:sz w:val="18"/>
                      <w:szCs w:val="18"/>
                    </w:rPr>
                  </w:pPr>
                </w:p>
              </w:tc>
              <w:tc>
                <w:tcPr>
                  <w:tcW w:w="310" w:type="pct"/>
                  <w:vMerge w:val="restart"/>
                  <w:vAlign w:val="center"/>
                </w:tcPr>
                <w:p>
                  <w:pPr>
                    <w:jc w:val="center"/>
                    <w:rPr>
                      <w:b/>
                      <w:bCs/>
                      <w:sz w:val="18"/>
                      <w:szCs w:val="18"/>
                    </w:rPr>
                  </w:pPr>
                  <w:r>
                    <w:rPr>
                      <w:rFonts w:hint="eastAsia"/>
                      <w:b/>
                      <w:bCs/>
                      <w:sz w:val="18"/>
                      <w:szCs w:val="18"/>
                    </w:rPr>
                    <w:t>排放</w:t>
                  </w:r>
                </w:p>
                <w:p>
                  <w:pPr>
                    <w:jc w:val="center"/>
                    <w:rPr>
                      <w:b/>
                      <w:bCs/>
                      <w:sz w:val="18"/>
                      <w:szCs w:val="18"/>
                    </w:rPr>
                  </w:pPr>
                  <w:r>
                    <w:rPr>
                      <w:b/>
                      <w:bCs/>
                      <w:sz w:val="18"/>
                      <w:szCs w:val="18"/>
                    </w:rPr>
                    <w:t>浓度（mg/</w:t>
                  </w:r>
                  <w:r>
                    <w:rPr>
                      <w:rFonts w:hint="eastAsia"/>
                      <w:b/>
                      <w:bCs/>
                      <w:sz w:val="18"/>
                      <w:szCs w:val="18"/>
                    </w:rPr>
                    <w:t>L</w:t>
                  </w:r>
                  <w:r>
                    <w:rPr>
                      <w:b/>
                      <w:bCs/>
                      <w:sz w:val="18"/>
                      <w:szCs w:val="18"/>
                    </w:rPr>
                    <w:t>）</w:t>
                  </w:r>
                </w:p>
              </w:tc>
              <w:tc>
                <w:tcPr>
                  <w:tcW w:w="242" w:type="pct"/>
                  <w:vMerge w:val="restart"/>
                  <w:vAlign w:val="center"/>
                </w:tcPr>
                <w:p>
                  <w:pPr>
                    <w:jc w:val="center"/>
                    <w:rPr>
                      <w:b/>
                      <w:bCs/>
                      <w:sz w:val="18"/>
                      <w:szCs w:val="18"/>
                    </w:rPr>
                  </w:pPr>
                  <w:r>
                    <w:rPr>
                      <w:rFonts w:hint="eastAsia"/>
                      <w:b/>
                      <w:bCs/>
                      <w:sz w:val="18"/>
                      <w:szCs w:val="18"/>
                    </w:rPr>
                    <w:t>排放</w:t>
                  </w:r>
                  <w:r>
                    <w:rPr>
                      <w:b/>
                      <w:bCs/>
                      <w:sz w:val="18"/>
                      <w:szCs w:val="18"/>
                    </w:rPr>
                    <w:t>量</w:t>
                  </w:r>
                </w:p>
                <w:p>
                  <w:pPr>
                    <w:jc w:val="center"/>
                    <w:rPr>
                      <w:b/>
                      <w:bCs/>
                      <w:sz w:val="18"/>
                      <w:szCs w:val="18"/>
                    </w:rPr>
                  </w:pPr>
                  <w:r>
                    <w:rPr>
                      <w:b/>
                      <w:bCs/>
                      <w:sz w:val="18"/>
                      <w:szCs w:val="18"/>
                    </w:rPr>
                    <w:t>（t/a）</w:t>
                  </w:r>
                </w:p>
              </w:tc>
              <w:tc>
                <w:tcPr>
                  <w:tcW w:w="216" w:type="pct"/>
                  <w:vMerge w:val="continue"/>
                  <w:vAlign w:val="center"/>
                </w:tcPr>
                <w:p>
                  <w:pPr>
                    <w:jc w:val="center"/>
                    <w:rPr>
                      <w:b/>
                      <w:bCs/>
                      <w:sz w:val="18"/>
                      <w:szCs w:val="18"/>
                    </w:rPr>
                  </w:pPr>
                </w:p>
              </w:tc>
              <w:tc>
                <w:tcPr>
                  <w:tcW w:w="228" w:type="pct"/>
                  <w:vMerge w:val="continue"/>
                  <w:vAlign w:val="center"/>
                </w:tcPr>
                <w:p>
                  <w:pPr>
                    <w:jc w:val="center"/>
                    <w:rPr>
                      <w:b/>
                      <w:bCs/>
                      <w:sz w:val="18"/>
                      <w:szCs w:val="18"/>
                    </w:rPr>
                  </w:pPr>
                </w:p>
              </w:tc>
              <w:tc>
                <w:tcPr>
                  <w:tcW w:w="275" w:type="pct"/>
                  <w:vMerge w:val="continue"/>
                  <w:vAlign w:val="center"/>
                </w:tcPr>
                <w:p>
                  <w:pPr>
                    <w:jc w:val="center"/>
                    <w:rPr>
                      <w:b/>
                      <w:bCs/>
                      <w:sz w:val="18"/>
                      <w:szCs w:val="18"/>
                    </w:rPr>
                  </w:pPr>
                </w:p>
              </w:tc>
              <w:tc>
                <w:tcPr>
                  <w:tcW w:w="293" w:type="pct"/>
                  <w:vMerge w:val="restart"/>
                  <w:vAlign w:val="center"/>
                </w:tcPr>
                <w:p>
                  <w:pPr>
                    <w:jc w:val="center"/>
                    <w:rPr>
                      <w:b/>
                      <w:bCs/>
                      <w:sz w:val="18"/>
                      <w:szCs w:val="18"/>
                    </w:rPr>
                  </w:pPr>
                  <w:r>
                    <w:rPr>
                      <w:b/>
                      <w:bCs/>
                      <w:sz w:val="18"/>
                      <w:szCs w:val="18"/>
                    </w:rPr>
                    <w:t>编号及名称</w:t>
                  </w:r>
                </w:p>
              </w:tc>
              <w:tc>
                <w:tcPr>
                  <w:tcW w:w="184" w:type="pct"/>
                  <w:vMerge w:val="restart"/>
                  <w:vAlign w:val="center"/>
                </w:tcPr>
                <w:p>
                  <w:pPr>
                    <w:jc w:val="center"/>
                    <w:rPr>
                      <w:b/>
                      <w:bCs/>
                      <w:sz w:val="18"/>
                      <w:szCs w:val="18"/>
                    </w:rPr>
                  </w:pPr>
                  <w:r>
                    <w:rPr>
                      <w:b/>
                      <w:bCs/>
                      <w:sz w:val="18"/>
                      <w:szCs w:val="18"/>
                    </w:rPr>
                    <w:t>类型</w:t>
                  </w:r>
                </w:p>
              </w:tc>
              <w:tc>
                <w:tcPr>
                  <w:tcW w:w="675" w:type="pct"/>
                  <w:gridSpan w:val="2"/>
                  <w:vAlign w:val="center"/>
                </w:tcPr>
                <w:p>
                  <w:pPr>
                    <w:jc w:val="center"/>
                    <w:rPr>
                      <w:b/>
                      <w:bCs/>
                      <w:sz w:val="18"/>
                      <w:szCs w:val="18"/>
                    </w:rPr>
                  </w:pPr>
                  <w:r>
                    <w:rPr>
                      <w:b/>
                      <w:bCs/>
                      <w:sz w:val="18"/>
                      <w:szCs w:val="18"/>
                    </w:rPr>
                    <w:t>地理坐标</w:t>
                  </w:r>
                </w:p>
              </w:tc>
              <w:tc>
                <w:tcPr>
                  <w:tcW w:w="377" w:type="pct"/>
                  <w:vMerge w:val="restart"/>
                  <w:vAlign w:val="center"/>
                </w:tcPr>
                <w:p>
                  <w:pPr>
                    <w:jc w:val="center"/>
                    <w:rPr>
                      <w:b/>
                      <w:bCs/>
                      <w:sz w:val="18"/>
                      <w:szCs w:val="18"/>
                    </w:rPr>
                  </w:pPr>
                  <w:r>
                    <w:rPr>
                      <w:rFonts w:hint="eastAsia"/>
                      <w:b/>
                      <w:bCs/>
                      <w:sz w:val="18"/>
                      <w:szCs w:val="18"/>
                    </w:rPr>
                    <w:t>名称</w:t>
                  </w:r>
                </w:p>
              </w:tc>
              <w:tc>
                <w:tcPr>
                  <w:tcW w:w="302" w:type="pct"/>
                  <w:vMerge w:val="restart"/>
                  <w:vAlign w:val="center"/>
                </w:tcPr>
                <w:p>
                  <w:pPr>
                    <w:jc w:val="center"/>
                    <w:rPr>
                      <w:b/>
                      <w:bCs/>
                      <w:sz w:val="18"/>
                      <w:szCs w:val="18"/>
                    </w:rPr>
                  </w:pPr>
                  <w:r>
                    <w:rPr>
                      <w:b/>
                      <w:bCs/>
                      <w:sz w:val="18"/>
                      <w:szCs w:val="18"/>
                    </w:rPr>
                    <w:t>浓度限值</w:t>
                  </w:r>
                  <w:r>
                    <w:rPr>
                      <w:rFonts w:hint="eastAsia"/>
                      <w:b/>
                      <w:bCs/>
                      <w:sz w:val="18"/>
                      <w:szCs w:val="18"/>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03" w:hRule="atLeast"/>
                <w:jc w:val="center"/>
              </w:trPr>
              <w:tc>
                <w:tcPr>
                  <w:tcW w:w="129" w:type="pct"/>
                  <w:vMerge w:val="continue"/>
                  <w:vAlign w:val="center"/>
                </w:tcPr>
                <w:p>
                  <w:pPr>
                    <w:jc w:val="center"/>
                    <w:rPr>
                      <w:sz w:val="18"/>
                      <w:szCs w:val="18"/>
                    </w:rPr>
                  </w:pPr>
                </w:p>
              </w:tc>
              <w:tc>
                <w:tcPr>
                  <w:tcW w:w="96" w:type="pct"/>
                  <w:vMerge w:val="continue"/>
                  <w:vAlign w:val="center"/>
                </w:tcPr>
                <w:p>
                  <w:pPr>
                    <w:jc w:val="center"/>
                    <w:rPr>
                      <w:sz w:val="18"/>
                      <w:szCs w:val="18"/>
                    </w:rPr>
                  </w:pPr>
                </w:p>
              </w:tc>
              <w:tc>
                <w:tcPr>
                  <w:tcW w:w="260" w:type="pct"/>
                  <w:vMerge w:val="continue"/>
                  <w:vAlign w:val="center"/>
                </w:tcPr>
                <w:p>
                  <w:pPr>
                    <w:jc w:val="center"/>
                    <w:rPr>
                      <w:sz w:val="18"/>
                      <w:szCs w:val="18"/>
                    </w:rPr>
                  </w:pPr>
                </w:p>
              </w:tc>
              <w:tc>
                <w:tcPr>
                  <w:tcW w:w="301"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vMerge w:val="continue"/>
                  <w:vAlign w:val="center"/>
                </w:tcPr>
                <w:p>
                  <w:pPr>
                    <w:jc w:val="center"/>
                    <w:rPr>
                      <w:sz w:val="18"/>
                      <w:szCs w:val="18"/>
                    </w:rPr>
                  </w:pPr>
                </w:p>
              </w:tc>
              <w:tc>
                <w:tcPr>
                  <w:tcW w:w="157" w:type="pct"/>
                  <w:vMerge w:val="continue"/>
                  <w:vAlign w:val="center"/>
                </w:tcPr>
                <w:p>
                  <w:pPr>
                    <w:jc w:val="center"/>
                    <w:rPr>
                      <w:sz w:val="18"/>
                      <w:szCs w:val="18"/>
                    </w:rPr>
                  </w:pPr>
                </w:p>
              </w:tc>
              <w:tc>
                <w:tcPr>
                  <w:tcW w:w="233" w:type="pct"/>
                  <w:vMerge w:val="continue"/>
                  <w:vAlign w:val="center"/>
                </w:tcPr>
                <w:p>
                  <w:pPr>
                    <w:jc w:val="center"/>
                    <w:rPr>
                      <w:sz w:val="18"/>
                      <w:szCs w:val="18"/>
                    </w:rPr>
                  </w:pPr>
                </w:p>
              </w:tc>
              <w:tc>
                <w:tcPr>
                  <w:tcW w:w="310" w:type="pct"/>
                  <w:vMerge w:val="continue"/>
                  <w:vAlign w:val="center"/>
                </w:tcPr>
                <w:p>
                  <w:pPr>
                    <w:jc w:val="center"/>
                    <w:rPr>
                      <w:sz w:val="18"/>
                      <w:szCs w:val="18"/>
                    </w:rPr>
                  </w:pPr>
                </w:p>
              </w:tc>
              <w:tc>
                <w:tcPr>
                  <w:tcW w:w="242" w:type="pct"/>
                  <w:vMerge w:val="continue"/>
                  <w:vAlign w:val="center"/>
                </w:tcPr>
                <w:p>
                  <w:pPr>
                    <w:jc w:val="center"/>
                    <w:rPr>
                      <w:sz w:val="18"/>
                      <w:szCs w:val="18"/>
                    </w:rPr>
                  </w:pPr>
                </w:p>
              </w:tc>
              <w:tc>
                <w:tcPr>
                  <w:tcW w:w="216"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75" w:type="pct"/>
                  <w:vMerge w:val="continue"/>
                  <w:vAlign w:val="center"/>
                </w:tcPr>
                <w:p>
                  <w:pPr>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Align w:val="center"/>
                </w:tcPr>
                <w:p>
                  <w:pPr>
                    <w:jc w:val="center"/>
                    <w:rPr>
                      <w:b/>
                      <w:bCs/>
                      <w:sz w:val="18"/>
                      <w:szCs w:val="18"/>
                    </w:rPr>
                  </w:pPr>
                  <w:r>
                    <w:rPr>
                      <w:b/>
                      <w:bCs/>
                      <w:sz w:val="18"/>
                      <w:szCs w:val="18"/>
                    </w:rPr>
                    <w:t>经度</w:t>
                  </w:r>
                </w:p>
              </w:tc>
              <w:tc>
                <w:tcPr>
                  <w:tcW w:w="367" w:type="pct"/>
                  <w:vAlign w:val="center"/>
                </w:tcPr>
                <w:p>
                  <w:pPr>
                    <w:jc w:val="center"/>
                    <w:rPr>
                      <w:b/>
                      <w:bCs/>
                      <w:sz w:val="18"/>
                      <w:szCs w:val="18"/>
                    </w:rPr>
                  </w:pPr>
                  <w:r>
                    <w:rPr>
                      <w:b/>
                      <w:bCs/>
                      <w:sz w:val="18"/>
                      <w:szCs w:val="18"/>
                    </w:rPr>
                    <w:t>纬度</w:t>
                  </w:r>
                </w:p>
              </w:tc>
              <w:tc>
                <w:tcPr>
                  <w:tcW w:w="377" w:type="pct"/>
                  <w:vMerge w:val="continue"/>
                  <w:vAlign w:val="center"/>
                </w:tcPr>
                <w:p>
                  <w:pPr>
                    <w:jc w:val="center"/>
                    <w:rPr>
                      <w:sz w:val="18"/>
                      <w:szCs w:val="18"/>
                    </w:rPr>
                  </w:pPr>
                </w:p>
              </w:tc>
              <w:tc>
                <w:tcPr>
                  <w:tcW w:w="302" w:type="pct"/>
                  <w:vMerge w:val="continue"/>
                  <w:vAlign w:val="center"/>
                </w:tcPr>
                <w:p>
                  <w:pPr>
                    <w:jc w:val="center"/>
                    <w:rPr>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15" w:hRule="atLeast"/>
                <w:jc w:val="center"/>
              </w:trPr>
              <w:tc>
                <w:tcPr>
                  <w:tcW w:w="129" w:type="pct"/>
                  <w:vMerge w:val="restart"/>
                  <w:tcBorders>
                    <w:right w:val="single" w:color="000000" w:sz="6" w:space="0"/>
                  </w:tcBorders>
                  <w:vAlign w:val="center"/>
                </w:tcPr>
                <w:p>
                  <w:pPr>
                    <w:jc w:val="center"/>
                    <w:rPr>
                      <w:sz w:val="18"/>
                      <w:szCs w:val="18"/>
                    </w:rPr>
                  </w:pPr>
                  <w:r>
                    <w:rPr>
                      <w:rFonts w:hint="eastAsia"/>
                      <w:sz w:val="18"/>
                      <w:szCs w:val="18"/>
                    </w:rPr>
                    <w:t>师生生活</w:t>
                  </w:r>
                </w:p>
              </w:tc>
              <w:tc>
                <w:tcPr>
                  <w:tcW w:w="96" w:type="pct"/>
                  <w:vMerge w:val="restart"/>
                  <w:tcBorders>
                    <w:left w:val="single" w:color="000000" w:sz="6" w:space="0"/>
                  </w:tcBorders>
                  <w:vAlign w:val="center"/>
                </w:tcPr>
                <w:p>
                  <w:pPr>
                    <w:jc w:val="center"/>
                    <w:rPr>
                      <w:kern w:val="0"/>
                      <w:sz w:val="18"/>
                      <w:szCs w:val="18"/>
                    </w:rPr>
                  </w:pPr>
                  <w:r>
                    <w:rPr>
                      <w:rFonts w:hint="eastAsia"/>
                      <w:kern w:val="0"/>
                      <w:sz w:val="18"/>
                      <w:szCs w:val="18"/>
                    </w:rPr>
                    <w:t>日常生活污水</w:t>
                  </w:r>
                </w:p>
              </w:tc>
              <w:tc>
                <w:tcPr>
                  <w:tcW w:w="260" w:type="pct"/>
                  <w:tcBorders>
                    <w:left w:val="single" w:color="000000" w:sz="6" w:space="0"/>
                  </w:tcBorders>
                  <w:vAlign w:val="center"/>
                </w:tcPr>
                <w:p>
                  <w:pPr>
                    <w:pStyle w:val="2"/>
                    <w:spacing w:line="240" w:lineRule="auto"/>
                    <w:ind w:firstLine="0" w:firstLineChars="0"/>
                    <w:jc w:val="center"/>
                    <w:rPr>
                      <w:sz w:val="18"/>
                      <w:szCs w:val="18"/>
                      <w:lang w:val="en-US" w:eastAsia="zh-CN"/>
                    </w:rPr>
                  </w:pPr>
                  <w:r>
                    <w:rPr>
                      <w:sz w:val="18"/>
                      <w:szCs w:val="18"/>
                      <w:lang w:val="en-US" w:eastAsia="zh-CN"/>
                    </w:rPr>
                    <w:t>COD</w:t>
                  </w:r>
                  <w:r>
                    <w:rPr>
                      <w:sz w:val="18"/>
                      <w:szCs w:val="18"/>
                      <w:vertAlign w:val="subscript"/>
                      <w:lang w:val="en-US" w:eastAsia="zh-CN"/>
                    </w:rPr>
                    <w:t>Cr</w:t>
                  </w:r>
                </w:p>
              </w:tc>
              <w:tc>
                <w:tcPr>
                  <w:tcW w:w="301" w:type="pct"/>
                  <w:vAlign w:val="center"/>
                </w:tcPr>
                <w:p>
                  <w:pPr>
                    <w:snapToGrid w:val="0"/>
                    <w:jc w:val="center"/>
                    <w:rPr>
                      <w:sz w:val="18"/>
                      <w:szCs w:val="18"/>
                    </w:rPr>
                  </w:pPr>
                  <w:r>
                    <w:rPr>
                      <w:sz w:val="18"/>
                      <w:szCs w:val="18"/>
                    </w:rPr>
                    <w:t>350</w:t>
                  </w:r>
                </w:p>
              </w:tc>
              <w:tc>
                <w:tcPr>
                  <w:tcW w:w="228" w:type="pct"/>
                  <w:vAlign w:val="center"/>
                </w:tcPr>
                <w:p>
                  <w:pPr>
                    <w:widowControl/>
                    <w:jc w:val="center"/>
                    <w:textAlignment w:val="center"/>
                    <w:rPr>
                      <w:sz w:val="18"/>
                      <w:szCs w:val="18"/>
                    </w:rPr>
                  </w:pPr>
                  <w:r>
                    <w:rPr>
                      <w:rFonts w:hint="eastAsia"/>
                      <w:sz w:val="18"/>
                      <w:szCs w:val="18"/>
                    </w:rPr>
                    <w:t>9.828</w:t>
                  </w:r>
                </w:p>
              </w:tc>
              <w:tc>
                <w:tcPr>
                  <w:tcW w:w="227" w:type="pct"/>
                  <w:vMerge w:val="restart"/>
                  <w:vAlign w:val="center"/>
                </w:tcPr>
                <w:p>
                  <w:pPr>
                    <w:jc w:val="center"/>
                    <w:rPr>
                      <w:sz w:val="18"/>
                      <w:szCs w:val="18"/>
                    </w:rPr>
                  </w:pPr>
                  <w:r>
                    <w:rPr>
                      <w:rFonts w:hint="eastAsia"/>
                      <w:sz w:val="18"/>
                      <w:szCs w:val="18"/>
                    </w:rPr>
                    <w:t>120</w:t>
                  </w:r>
                </w:p>
              </w:tc>
              <w:tc>
                <w:tcPr>
                  <w:tcW w:w="123" w:type="pct"/>
                  <w:vMerge w:val="restart"/>
                  <w:vAlign w:val="center"/>
                </w:tcPr>
                <w:p>
                  <w:pPr>
                    <w:jc w:val="center"/>
                    <w:rPr>
                      <w:sz w:val="18"/>
                      <w:szCs w:val="18"/>
                    </w:rPr>
                  </w:pPr>
                  <w:r>
                    <w:rPr>
                      <w:rFonts w:hint="eastAsia"/>
                      <w:sz w:val="18"/>
                      <w:szCs w:val="18"/>
                    </w:rPr>
                    <w:t>化粪池</w:t>
                  </w:r>
                </w:p>
              </w:tc>
              <w:tc>
                <w:tcPr>
                  <w:tcW w:w="138" w:type="pct"/>
                  <w:tcBorders>
                    <w:bottom w:val="single" w:color="auto" w:sz="4" w:space="0"/>
                  </w:tcBorders>
                  <w:vAlign w:val="center"/>
                </w:tcPr>
                <w:p>
                  <w:pPr>
                    <w:jc w:val="center"/>
                    <w:rPr>
                      <w:sz w:val="18"/>
                      <w:szCs w:val="18"/>
                    </w:rPr>
                  </w:pPr>
                  <w:r>
                    <w:rPr>
                      <w:rFonts w:hint="eastAsia"/>
                      <w:sz w:val="18"/>
                      <w:szCs w:val="18"/>
                    </w:rPr>
                    <w:t>/</w:t>
                  </w:r>
                </w:p>
              </w:tc>
              <w:tc>
                <w:tcPr>
                  <w:tcW w:w="157" w:type="pct"/>
                  <w:vMerge w:val="restart"/>
                  <w:vAlign w:val="center"/>
                </w:tcPr>
                <w:p>
                  <w:pPr>
                    <w:jc w:val="center"/>
                    <w:rPr>
                      <w:sz w:val="18"/>
                      <w:szCs w:val="18"/>
                    </w:rPr>
                  </w:pPr>
                  <w:r>
                    <w:rPr>
                      <w:rFonts w:hint="eastAsia"/>
                      <w:sz w:val="18"/>
                      <w:szCs w:val="18"/>
                    </w:rPr>
                    <w:t>是</w:t>
                  </w:r>
                </w:p>
              </w:tc>
              <w:tc>
                <w:tcPr>
                  <w:tcW w:w="233" w:type="pct"/>
                  <w:vMerge w:val="restart"/>
                  <w:vAlign w:val="center"/>
                </w:tcPr>
                <w:p>
                  <w:pPr>
                    <w:autoSpaceDE w:val="0"/>
                    <w:autoSpaceDN w:val="0"/>
                    <w:adjustRightInd w:val="0"/>
                    <w:jc w:val="center"/>
                    <w:rPr>
                      <w:sz w:val="18"/>
                      <w:szCs w:val="18"/>
                    </w:rPr>
                  </w:pPr>
                  <w:r>
                    <w:rPr>
                      <w:rFonts w:hint="eastAsia"/>
                      <w:sz w:val="18"/>
                      <w:szCs w:val="18"/>
                    </w:rPr>
                    <w:t>28080</w:t>
                  </w:r>
                </w:p>
              </w:tc>
              <w:tc>
                <w:tcPr>
                  <w:tcW w:w="310" w:type="pct"/>
                  <w:vAlign w:val="center"/>
                </w:tcPr>
                <w:p>
                  <w:pPr>
                    <w:snapToGrid w:val="0"/>
                    <w:jc w:val="center"/>
                    <w:rPr>
                      <w:sz w:val="18"/>
                      <w:szCs w:val="18"/>
                    </w:rPr>
                  </w:pPr>
                  <w:r>
                    <w:rPr>
                      <w:rFonts w:hint="eastAsia"/>
                      <w:sz w:val="18"/>
                      <w:szCs w:val="18"/>
                    </w:rPr>
                    <w:t>50</w:t>
                  </w:r>
                </w:p>
              </w:tc>
              <w:tc>
                <w:tcPr>
                  <w:tcW w:w="242" w:type="pct"/>
                  <w:tcBorders>
                    <w:bottom w:val="single" w:color="auto" w:sz="4" w:space="0"/>
                  </w:tcBorders>
                  <w:vAlign w:val="center"/>
                </w:tcPr>
                <w:p>
                  <w:pPr>
                    <w:widowControl/>
                    <w:jc w:val="center"/>
                    <w:textAlignment w:val="center"/>
                    <w:rPr>
                      <w:sz w:val="18"/>
                      <w:szCs w:val="18"/>
                    </w:rPr>
                  </w:pPr>
                  <w:r>
                    <w:rPr>
                      <w:rFonts w:hint="eastAsia"/>
                      <w:sz w:val="18"/>
                      <w:szCs w:val="18"/>
                    </w:rPr>
                    <w:t>1.404</w:t>
                  </w:r>
                </w:p>
              </w:tc>
              <w:tc>
                <w:tcPr>
                  <w:tcW w:w="216" w:type="pct"/>
                  <w:vMerge w:val="restart"/>
                  <w:vAlign w:val="center"/>
                </w:tcPr>
                <w:p>
                  <w:pPr>
                    <w:autoSpaceDE w:val="0"/>
                    <w:autoSpaceDN w:val="0"/>
                    <w:adjustRightInd w:val="0"/>
                    <w:jc w:val="center"/>
                    <w:rPr>
                      <w:sz w:val="18"/>
                      <w:szCs w:val="18"/>
                    </w:rPr>
                  </w:pPr>
                  <w:r>
                    <w:rPr>
                      <w:rFonts w:hint="eastAsia"/>
                      <w:sz w:val="18"/>
                      <w:szCs w:val="18"/>
                    </w:rPr>
                    <w:t>间接</w:t>
                  </w:r>
                </w:p>
                <w:p>
                  <w:pPr>
                    <w:autoSpaceDE w:val="0"/>
                    <w:autoSpaceDN w:val="0"/>
                    <w:adjustRightInd w:val="0"/>
                    <w:jc w:val="center"/>
                    <w:rPr>
                      <w:sz w:val="18"/>
                      <w:szCs w:val="18"/>
                    </w:rPr>
                  </w:pPr>
                  <w:r>
                    <w:rPr>
                      <w:rFonts w:hint="eastAsia"/>
                      <w:sz w:val="18"/>
                      <w:szCs w:val="18"/>
                    </w:rPr>
                    <w:t>排放</w:t>
                  </w:r>
                </w:p>
              </w:tc>
              <w:tc>
                <w:tcPr>
                  <w:tcW w:w="228" w:type="pct"/>
                  <w:vMerge w:val="restart"/>
                  <w:vAlign w:val="center"/>
                </w:tcPr>
                <w:p>
                  <w:pPr>
                    <w:pStyle w:val="2"/>
                    <w:spacing w:line="240" w:lineRule="auto"/>
                    <w:ind w:firstLine="0" w:firstLineChars="0"/>
                    <w:jc w:val="center"/>
                    <w:rPr>
                      <w:sz w:val="18"/>
                      <w:szCs w:val="18"/>
                      <w:lang w:val="en-US" w:eastAsia="zh-CN"/>
                    </w:rPr>
                  </w:pPr>
                  <w:r>
                    <w:rPr>
                      <w:rFonts w:hint="eastAsia"/>
                      <w:sz w:val="18"/>
                      <w:szCs w:val="18"/>
                      <w:lang w:val="en-US" w:eastAsia="zh-CN"/>
                    </w:rPr>
                    <w:t>黄山市</w:t>
                  </w:r>
                </w:p>
                <w:p>
                  <w:pPr>
                    <w:pStyle w:val="2"/>
                    <w:spacing w:line="240" w:lineRule="auto"/>
                    <w:ind w:firstLine="0" w:firstLineChars="0"/>
                    <w:jc w:val="center"/>
                    <w:rPr>
                      <w:sz w:val="18"/>
                      <w:szCs w:val="18"/>
                      <w:lang w:val="en-US" w:eastAsia="zh-CN"/>
                    </w:rPr>
                  </w:pPr>
                  <w:r>
                    <w:rPr>
                      <w:rFonts w:hint="eastAsia"/>
                      <w:sz w:val="18"/>
                      <w:szCs w:val="18"/>
                      <w:lang w:val="en-US" w:eastAsia="zh-CN"/>
                    </w:rPr>
                    <w:t>第二污水</w:t>
                  </w:r>
                </w:p>
                <w:p>
                  <w:pPr>
                    <w:pStyle w:val="2"/>
                    <w:spacing w:line="240" w:lineRule="auto"/>
                    <w:ind w:firstLine="0" w:firstLineChars="0"/>
                    <w:jc w:val="center"/>
                    <w:rPr>
                      <w:sz w:val="18"/>
                      <w:szCs w:val="18"/>
                      <w:lang w:val="en-US" w:eastAsia="zh-CN"/>
                    </w:rPr>
                  </w:pPr>
                  <w:r>
                    <w:rPr>
                      <w:rFonts w:hint="eastAsia"/>
                      <w:sz w:val="18"/>
                      <w:szCs w:val="18"/>
                      <w:lang w:val="en-US" w:eastAsia="zh-CN"/>
                    </w:rPr>
                    <w:t>处理厂</w:t>
                  </w:r>
                </w:p>
              </w:tc>
              <w:tc>
                <w:tcPr>
                  <w:tcW w:w="275" w:type="pct"/>
                  <w:vMerge w:val="restart"/>
                  <w:vAlign w:val="center"/>
                </w:tcPr>
                <w:p>
                  <w:pPr>
                    <w:pStyle w:val="2"/>
                    <w:spacing w:line="240" w:lineRule="auto"/>
                    <w:ind w:firstLine="0" w:firstLineChars="0"/>
                    <w:jc w:val="center"/>
                    <w:rPr>
                      <w:sz w:val="18"/>
                      <w:szCs w:val="18"/>
                      <w:lang w:val="en-US" w:eastAsia="zh-CN"/>
                    </w:rPr>
                  </w:pPr>
                  <w:r>
                    <w:rPr>
                      <w:sz w:val="18"/>
                      <w:szCs w:val="18"/>
                      <w:lang w:val="en-US" w:eastAsia="zh-CN"/>
                    </w:rPr>
                    <w:t>间断排放，排放期间流量不稳定且无规律，但不属于冲击型排放</w:t>
                  </w:r>
                </w:p>
              </w:tc>
              <w:tc>
                <w:tcPr>
                  <w:tcW w:w="293" w:type="pct"/>
                  <w:vMerge w:val="restart"/>
                  <w:vAlign w:val="center"/>
                </w:tcPr>
                <w:p>
                  <w:pPr>
                    <w:jc w:val="center"/>
                    <w:rPr>
                      <w:sz w:val="18"/>
                      <w:szCs w:val="18"/>
                    </w:rPr>
                  </w:pPr>
                  <w:r>
                    <w:rPr>
                      <w:rFonts w:hint="eastAsia"/>
                      <w:sz w:val="18"/>
                      <w:szCs w:val="18"/>
                    </w:rPr>
                    <w:t>DW001，废水总排口</w:t>
                  </w:r>
                </w:p>
              </w:tc>
              <w:tc>
                <w:tcPr>
                  <w:tcW w:w="184" w:type="pct"/>
                  <w:vMerge w:val="restart"/>
                  <w:vAlign w:val="center"/>
                </w:tcPr>
                <w:p>
                  <w:pPr>
                    <w:jc w:val="center"/>
                    <w:rPr>
                      <w:sz w:val="18"/>
                      <w:szCs w:val="18"/>
                    </w:rPr>
                  </w:pPr>
                  <w:r>
                    <w:rPr>
                      <w:rFonts w:hint="eastAsia"/>
                      <w:sz w:val="18"/>
                      <w:szCs w:val="18"/>
                    </w:rPr>
                    <w:t>一般排放口</w:t>
                  </w:r>
                </w:p>
              </w:tc>
              <w:tc>
                <w:tcPr>
                  <w:tcW w:w="307" w:type="pct"/>
                  <w:vMerge w:val="restart"/>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118.258246</w:t>
                  </w:r>
                </w:p>
                <w:p>
                  <w:pPr>
                    <w:pStyle w:val="2"/>
                    <w:spacing w:line="240" w:lineRule="auto"/>
                    <w:ind w:firstLine="0" w:firstLineChars="0"/>
                    <w:jc w:val="center"/>
                    <w:rPr>
                      <w:sz w:val="18"/>
                      <w:szCs w:val="18"/>
                      <w:lang w:val="en-US" w:eastAsia="zh-CN"/>
                    </w:rPr>
                  </w:pPr>
                </w:p>
              </w:tc>
              <w:tc>
                <w:tcPr>
                  <w:tcW w:w="367" w:type="pct"/>
                  <w:vMerge w:val="restart"/>
                  <w:vAlign w:val="center"/>
                </w:tcPr>
                <w:p>
                  <w:pPr>
                    <w:pStyle w:val="19"/>
                    <w:spacing w:before="0" w:beforeAutospacing="0" w:after="0" w:afterAutospacing="0"/>
                    <w:jc w:val="center"/>
                    <w:rPr>
                      <w:rFonts w:ascii="Times New Roman" w:hAnsi="Times New Roman"/>
                      <w:sz w:val="18"/>
                      <w:szCs w:val="18"/>
                      <w:lang w:val="en-US" w:eastAsia="zh-CN"/>
                    </w:rPr>
                  </w:pPr>
                  <w:r>
                    <w:rPr>
                      <w:rFonts w:ascii="Times New Roman" w:hAnsi="Times New Roman"/>
                      <w:sz w:val="18"/>
                      <w:szCs w:val="18"/>
                      <w:lang w:val="en-US" w:eastAsia="zh-CN"/>
                    </w:rPr>
                    <w:t>29.785721</w:t>
                  </w:r>
                </w:p>
                <w:p>
                  <w:pPr>
                    <w:pStyle w:val="2"/>
                    <w:spacing w:line="240" w:lineRule="auto"/>
                    <w:ind w:firstLine="0" w:firstLineChars="0"/>
                    <w:jc w:val="center"/>
                    <w:rPr>
                      <w:sz w:val="18"/>
                      <w:szCs w:val="18"/>
                      <w:lang w:val="en-US" w:eastAsia="zh-CN"/>
                    </w:rPr>
                  </w:pPr>
                </w:p>
              </w:tc>
              <w:tc>
                <w:tcPr>
                  <w:tcW w:w="377" w:type="pct"/>
                  <w:tcBorders>
                    <w:bottom w:val="single" w:color="auto" w:sz="4" w:space="0"/>
                  </w:tcBorders>
                  <w:vAlign w:val="center"/>
                </w:tcPr>
                <w:p>
                  <w:pPr>
                    <w:pStyle w:val="2"/>
                    <w:spacing w:line="240" w:lineRule="auto"/>
                    <w:ind w:firstLine="0" w:firstLineChars="0"/>
                    <w:jc w:val="center"/>
                    <w:rPr>
                      <w:sz w:val="18"/>
                      <w:szCs w:val="18"/>
                      <w:lang w:val="en-US" w:eastAsia="zh-CN"/>
                    </w:rPr>
                  </w:pPr>
                  <w:r>
                    <w:rPr>
                      <w:sz w:val="18"/>
                      <w:szCs w:val="18"/>
                      <w:lang w:val="zh-CN" w:eastAsia="zh-CN"/>
                    </w:rPr>
                    <w:t>《污水综合排放标准》中三级标准</w:t>
                  </w:r>
                </w:p>
              </w:tc>
              <w:tc>
                <w:tcPr>
                  <w:tcW w:w="302" w:type="pct"/>
                  <w:tcBorders>
                    <w:bottom w:val="single" w:color="auto" w:sz="4" w:space="0"/>
                  </w:tcBorders>
                  <w:vAlign w:val="center"/>
                </w:tcPr>
                <w:p>
                  <w:pPr>
                    <w:pStyle w:val="2"/>
                    <w:spacing w:line="240" w:lineRule="auto"/>
                    <w:ind w:firstLine="0" w:firstLineChars="0"/>
                    <w:jc w:val="center"/>
                    <w:rPr>
                      <w:sz w:val="18"/>
                      <w:szCs w:val="18"/>
                      <w:lang w:val="en-US" w:eastAsia="zh-CN"/>
                    </w:rPr>
                  </w:pPr>
                  <w:r>
                    <w:rPr>
                      <w:rFonts w:hint="eastAsia"/>
                      <w:sz w:val="18"/>
                      <w:szCs w:val="18"/>
                      <w:lang w:val="en-US" w:eastAsia="zh-CN"/>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129" w:type="pct"/>
                  <w:vMerge w:val="continue"/>
                  <w:tcBorders>
                    <w:right w:val="single" w:color="000000" w:sz="6" w:space="0"/>
                  </w:tcBorders>
                  <w:vAlign w:val="center"/>
                </w:tcPr>
                <w:p>
                  <w:pPr>
                    <w:jc w:val="center"/>
                    <w:rPr>
                      <w:sz w:val="18"/>
                      <w:szCs w:val="18"/>
                    </w:rPr>
                  </w:pPr>
                </w:p>
              </w:tc>
              <w:tc>
                <w:tcPr>
                  <w:tcW w:w="96" w:type="pct"/>
                  <w:vMerge w:val="continue"/>
                  <w:tcBorders>
                    <w:left w:val="single" w:color="000000" w:sz="6" w:space="0"/>
                  </w:tcBorders>
                  <w:vAlign w:val="center"/>
                </w:tcPr>
                <w:p>
                  <w:pPr>
                    <w:jc w:val="center"/>
                    <w:rPr>
                      <w:kern w:val="0"/>
                      <w:sz w:val="18"/>
                      <w:szCs w:val="18"/>
                    </w:rPr>
                  </w:pPr>
                </w:p>
              </w:tc>
              <w:tc>
                <w:tcPr>
                  <w:tcW w:w="260" w:type="pct"/>
                  <w:tcBorders>
                    <w:left w:val="single" w:color="000000" w:sz="6" w:space="0"/>
                  </w:tcBorders>
                  <w:vAlign w:val="center"/>
                </w:tcPr>
                <w:p>
                  <w:pPr>
                    <w:pStyle w:val="2"/>
                    <w:spacing w:line="240" w:lineRule="auto"/>
                    <w:ind w:firstLine="0" w:firstLineChars="0"/>
                    <w:jc w:val="center"/>
                    <w:rPr>
                      <w:sz w:val="18"/>
                      <w:szCs w:val="18"/>
                      <w:lang w:val="en-US" w:eastAsia="zh-CN"/>
                    </w:rPr>
                  </w:pPr>
                  <w:r>
                    <w:rPr>
                      <w:rFonts w:hint="eastAsia"/>
                      <w:sz w:val="18"/>
                      <w:szCs w:val="18"/>
                      <w:lang w:val="en-US" w:eastAsia="zh-CN"/>
                    </w:rPr>
                    <w:t>NH</w:t>
                  </w:r>
                  <w:r>
                    <w:rPr>
                      <w:rFonts w:hint="eastAsia"/>
                      <w:sz w:val="18"/>
                      <w:szCs w:val="18"/>
                      <w:vertAlign w:val="subscript"/>
                      <w:lang w:val="en-US" w:eastAsia="zh-CN"/>
                    </w:rPr>
                    <w:t>3</w:t>
                  </w:r>
                  <w:r>
                    <w:rPr>
                      <w:rFonts w:hint="eastAsia"/>
                      <w:sz w:val="18"/>
                      <w:szCs w:val="18"/>
                      <w:lang w:val="en-US" w:eastAsia="zh-CN"/>
                    </w:rPr>
                    <w:t>-N</w:t>
                  </w:r>
                </w:p>
              </w:tc>
              <w:tc>
                <w:tcPr>
                  <w:tcW w:w="301" w:type="pct"/>
                  <w:vAlign w:val="center"/>
                </w:tcPr>
                <w:p>
                  <w:pPr>
                    <w:snapToGrid w:val="0"/>
                    <w:jc w:val="center"/>
                    <w:rPr>
                      <w:sz w:val="18"/>
                      <w:szCs w:val="18"/>
                    </w:rPr>
                  </w:pPr>
                  <w:r>
                    <w:rPr>
                      <w:sz w:val="18"/>
                      <w:szCs w:val="18"/>
                    </w:rPr>
                    <w:t>35</w:t>
                  </w:r>
                </w:p>
              </w:tc>
              <w:tc>
                <w:tcPr>
                  <w:tcW w:w="228" w:type="pct"/>
                  <w:tcBorders>
                    <w:top w:val="single" w:color="000000" w:sz="4" w:space="0"/>
                  </w:tcBorders>
                  <w:vAlign w:val="center"/>
                </w:tcPr>
                <w:p>
                  <w:pPr>
                    <w:widowControl/>
                    <w:jc w:val="center"/>
                    <w:textAlignment w:val="center"/>
                    <w:rPr>
                      <w:sz w:val="18"/>
                      <w:szCs w:val="18"/>
                    </w:rPr>
                  </w:pPr>
                  <w:r>
                    <w:rPr>
                      <w:rFonts w:hint="eastAsia"/>
                      <w:sz w:val="18"/>
                      <w:szCs w:val="18"/>
                    </w:rPr>
                    <w:t>0.9828</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tcBorders>
                    <w:top w:val="single" w:color="auto" w:sz="4" w:space="0"/>
                  </w:tcBorders>
                  <w:vAlign w:val="center"/>
                </w:tcPr>
                <w:p>
                  <w:pPr>
                    <w:jc w:val="center"/>
                    <w:rPr>
                      <w:sz w:val="18"/>
                      <w:szCs w:val="18"/>
                    </w:rPr>
                  </w:pPr>
                  <w:r>
                    <w:rPr>
                      <w:rFonts w:hint="eastAsia"/>
                      <w:sz w:val="18"/>
                      <w:szCs w:val="18"/>
                    </w:rPr>
                    <w:t>/</w:t>
                  </w:r>
                </w:p>
              </w:tc>
              <w:tc>
                <w:tcPr>
                  <w:tcW w:w="157" w:type="pct"/>
                  <w:vMerge w:val="continue"/>
                  <w:vAlign w:val="center"/>
                </w:tcPr>
                <w:p>
                  <w:pPr>
                    <w:jc w:val="center"/>
                    <w:rPr>
                      <w:sz w:val="18"/>
                      <w:szCs w:val="18"/>
                    </w:rPr>
                  </w:pPr>
                </w:p>
              </w:tc>
              <w:tc>
                <w:tcPr>
                  <w:tcW w:w="233" w:type="pct"/>
                  <w:vMerge w:val="continue"/>
                  <w:vAlign w:val="center"/>
                </w:tcPr>
                <w:p>
                  <w:pPr>
                    <w:autoSpaceDE w:val="0"/>
                    <w:autoSpaceDN w:val="0"/>
                    <w:adjustRightInd w:val="0"/>
                    <w:jc w:val="center"/>
                    <w:rPr>
                      <w:sz w:val="18"/>
                      <w:szCs w:val="18"/>
                    </w:rPr>
                  </w:pPr>
                </w:p>
              </w:tc>
              <w:tc>
                <w:tcPr>
                  <w:tcW w:w="310" w:type="pct"/>
                  <w:tcBorders>
                    <w:top w:val="single" w:color="000000" w:sz="4" w:space="0"/>
                  </w:tcBorders>
                  <w:vAlign w:val="center"/>
                </w:tcPr>
                <w:p>
                  <w:pPr>
                    <w:snapToGrid w:val="0"/>
                    <w:jc w:val="center"/>
                    <w:rPr>
                      <w:sz w:val="18"/>
                      <w:szCs w:val="18"/>
                    </w:rPr>
                  </w:pPr>
                  <w:r>
                    <w:rPr>
                      <w:rFonts w:hint="eastAsia"/>
                      <w:sz w:val="18"/>
                      <w:szCs w:val="18"/>
                    </w:rPr>
                    <w:t>5</w:t>
                  </w:r>
                </w:p>
              </w:tc>
              <w:tc>
                <w:tcPr>
                  <w:tcW w:w="242" w:type="pct"/>
                  <w:tcBorders>
                    <w:top w:val="single" w:color="auto" w:sz="4" w:space="0"/>
                    <w:bottom w:val="single" w:color="auto" w:sz="4" w:space="0"/>
                  </w:tcBorders>
                  <w:vAlign w:val="center"/>
                </w:tcPr>
                <w:p>
                  <w:pPr>
                    <w:widowControl/>
                    <w:jc w:val="center"/>
                    <w:textAlignment w:val="center"/>
                    <w:rPr>
                      <w:sz w:val="18"/>
                      <w:szCs w:val="18"/>
                    </w:rPr>
                  </w:pPr>
                  <w:r>
                    <w:rPr>
                      <w:rFonts w:hint="eastAsia"/>
                      <w:sz w:val="18"/>
                      <w:szCs w:val="18"/>
                    </w:rPr>
                    <w:t>0.1404</w:t>
                  </w:r>
                </w:p>
              </w:tc>
              <w:tc>
                <w:tcPr>
                  <w:tcW w:w="216" w:type="pct"/>
                  <w:vMerge w:val="continue"/>
                  <w:vAlign w:val="center"/>
                </w:tcPr>
                <w:p>
                  <w:pPr>
                    <w:autoSpaceDE w:val="0"/>
                    <w:autoSpaceDN w:val="0"/>
                    <w:adjustRightInd w:val="0"/>
                    <w:jc w:val="center"/>
                    <w:rPr>
                      <w:sz w:val="18"/>
                      <w:szCs w:val="18"/>
                    </w:rPr>
                  </w:pPr>
                </w:p>
              </w:tc>
              <w:tc>
                <w:tcPr>
                  <w:tcW w:w="228" w:type="pct"/>
                  <w:vMerge w:val="continue"/>
                  <w:vAlign w:val="center"/>
                </w:tcPr>
                <w:p>
                  <w:pPr>
                    <w:pStyle w:val="2"/>
                    <w:spacing w:line="240" w:lineRule="auto"/>
                    <w:ind w:firstLine="0" w:firstLineChars="0"/>
                    <w:jc w:val="center"/>
                    <w:rPr>
                      <w:sz w:val="18"/>
                      <w:szCs w:val="18"/>
                      <w:lang w:val="en-US" w:eastAsia="zh-CN"/>
                    </w:rPr>
                  </w:pPr>
                </w:p>
              </w:tc>
              <w:tc>
                <w:tcPr>
                  <w:tcW w:w="275" w:type="pct"/>
                  <w:vMerge w:val="continue"/>
                  <w:vAlign w:val="center"/>
                </w:tcPr>
                <w:p>
                  <w:pPr>
                    <w:pStyle w:val="2"/>
                    <w:spacing w:line="240" w:lineRule="auto"/>
                    <w:ind w:firstLine="0" w:firstLineChars="0"/>
                    <w:jc w:val="center"/>
                    <w:rPr>
                      <w:sz w:val="18"/>
                      <w:szCs w:val="18"/>
                      <w:lang w:val="en-US" w:eastAsia="zh-CN"/>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pStyle w:val="2"/>
                    <w:spacing w:line="240" w:lineRule="auto"/>
                    <w:ind w:firstLine="0" w:firstLineChars="0"/>
                    <w:jc w:val="center"/>
                    <w:rPr>
                      <w:sz w:val="18"/>
                      <w:szCs w:val="18"/>
                      <w:lang w:val="en-US" w:eastAsia="zh-CN"/>
                    </w:rPr>
                  </w:pPr>
                </w:p>
              </w:tc>
              <w:tc>
                <w:tcPr>
                  <w:tcW w:w="367" w:type="pct"/>
                  <w:vMerge w:val="continue"/>
                  <w:vAlign w:val="center"/>
                </w:tcPr>
                <w:p>
                  <w:pPr>
                    <w:pStyle w:val="2"/>
                    <w:spacing w:line="240" w:lineRule="auto"/>
                    <w:ind w:firstLine="0" w:firstLineChars="0"/>
                    <w:jc w:val="center"/>
                    <w:rPr>
                      <w:sz w:val="18"/>
                      <w:szCs w:val="18"/>
                      <w:lang w:val="en-US" w:eastAsia="zh-CN"/>
                    </w:rPr>
                  </w:pPr>
                </w:p>
              </w:tc>
              <w:tc>
                <w:tcPr>
                  <w:tcW w:w="377" w:type="pct"/>
                  <w:tcBorders>
                    <w:top w:val="single" w:color="auto" w:sz="4" w:space="0"/>
                    <w:bottom w:val="single" w:color="auto" w:sz="4" w:space="0"/>
                  </w:tcBorders>
                  <w:vAlign w:val="center"/>
                </w:tcPr>
                <w:p>
                  <w:pPr>
                    <w:pStyle w:val="50"/>
                    <w:spacing w:line="240" w:lineRule="auto"/>
                    <w:rPr>
                      <w:b w:val="0"/>
                      <w:sz w:val="18"/>
                      <w:szCs w:val="18"/>
                    </w:rPr>
                  </w:pPr>
                  <w:r>
                    <w:rPr>
                      <w:b w:val="0"/>
                      <w:bCs/>
                      <w:sz w:val="18"/>
                      <w:szCs w:val="18"/>
                      <w:lang w:val="zh-CN"/>
                    </w:rPr>
                    <w:t>《污水排入城镇下水道水质标准》中</w:t>
                  </w:r>
                  <w:r>
                    <w:rPr>
                      <w:rFonts w:hint="eastAsia"/>
                      <w:b w:val="0"/>
                      <w:bCs/>
                      <w:sz w:val="18"/>
                      <w:szCs w:val="18"/>
                    </w:rPr>
                    <w:t>B级限值</w:t>
                  </w:r>
                </w:p>
              </w:tc>
              <w:tc>
                <w:tcPr>
                  <w:tcW w:w="302" w:type="pct"/>
                  <w:tcBorders>
                    <w:top w:val="single" w:color="auto" w:sz="4" w:space="0"/>
                    <w:bottom w:val="single" w:color="auto" w:sz="4" w:space="0"/>
                  </w:tcBorders>
                  <w:vAlign w:val="center"/>
                </w:tcPr>
                <w:p>
                  <w:pPr>
                    <w:pStyle w:val="50"/>
                    <w:spacing w:line="240" w:lineRule="auto"/>
                    <w:rPr>
                      <w:b w:val="0"/>
                      <w:sz w:val="18"/>
                      <w:szCs w:val="18"/>
                    </w:rPr>
                  </w:pPr>
                  <w:r>
                    <w:rPr>
                      <w:rFonts w:hint="eastAsia"/>
                      <w:b w:val="0"/>
                      <w:sz w:val="18"/>
                      <w:szCs w:val="18"/>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9" w:hRule="atLeast"/>
                <w:jc w:val="center"/>
              </w:trPr>
              <w:tc>
                <w:tcPr>
                  <w:tcW w:w="129" w:type="pct"/>
                  <w:vMerge w:val="restart"/>
                  <w:tcBorders>
                    <w:right w:val="single" w:color="000000" w:sz="6" w:space="0"/>
                  </w:tcBorders>
                  <w:vAlign w:val="center"/>
                </w:tcPr>
                <w:p>
                  <w:pPr>
                    <w:jc w:val="center"/>
                    <w:rPr>
                      <w:sz w:val="18"/>
                      <w:szCs w:val="18"/>
                    </w:rPr>
                  </w:pPr>
                  <w:r>
                    <w:rPr>
                      <w:rFonts w:hint="eastAsia"/>
                      <w:sz w:val="18"/>
                      <w:szCs w:val="18"/>
                    </w:rPr>
                    <w:t>实验室</w:t>
                  </w:r>
                </w:p>
              </w:tc>
              <w:tc>
                <w:tcPr>
                  <w:tcW w:w="96" w:type="pct"/>
                  <w:vMerge w:val="restart"/>
                  <w:tcBorders>
                    <w:left w:val="single" w:color="000000" w:sz="6" w:space="0"/>
                  </w:tcBorders>
                  <w:vAlign w:val="center"/>
                </w:tcPr>
                <w:p>
                  <w:pPr>
                    <w:jc w:val="center"/>
                    <w:rPr>
                      <w:sz w:val="18"/>
                      <w:szCs w:val="18"/>
                    </w:rPr>
                  </w:pPr>
                  <w:r>
                    <w:rPr>
                      <w:rFonts w:hint="eastAsia"/>
                      <w:sz w:val="18"/>
                      <w:szCs w:val="18"/>
                    </w:rPr>
                    <w:t>实验废水</w:t>
                  </w:r>
                </w:p>
              </w:tc>
              <w:tc>
                <w:tcPr>
                  <w:tcW w:w="260" w:type="pct"/>
                  <w:tcBorders>
                    <w:left w:val="single" w:color="000000" w:sz="6" w:space="0"/>
                  </w:tcBorders>
                  <w:vAlign w:val="center"/>
                </w:tcPr>
                <w:p>
                  <w:pPr>
                    <w:pStyle w:val="2"/>
                    <w:spacing w:line="240" w:lineRule="auto"/>
                    <w:ind w:firstLine="0" w:firstLineChars="0"/>
                    <w:jc w:val="center"/>
                    <w:rPr>
                      <w:sz w:val="18"/>
                      <w:szCs w:val="18"/>
                      <w:lang w:val="en-US" w:eastAsia="zh-CN"/>
                    </w:rPr>
                  </w:pPr>
                  <w:r>
                    <w:rPr>
                      <w:sz w:val="18"/>
                      <w:szCs w:val="18"/>
                      <w:lang w:val="en-US" w:eastAsia="zh-CN"/>
                    </w:rPr>
                    <w:t>COD</w:t>
                  </w:r>
                  <w:r>
                    <w:rPr>
                      <w:sz w:val="18"/>
                      <w:szCs w:val="18"/>
                      <w:vertAlign w:val="subscript"/>
                      <w:lang w:val="en-US" w:eastAsia="zh-CN"/>
                    </w:rPr>
                    <w:t>Cr</w:t>
                  </w:r>
                </w:p>
              </w:tc>
              <w:tc>
                <w:tcPr>
                  <w:tcW w:w="301" w:type="pct"/>
                  <w:vAlign w:val="center"/>
                </w:tcPr>
                <w:p>
                  <w:pPr>
                    <w:snapToGrid w:val="0"/>
                    <w:jc w:val="center"/>
                    <w:rPr>
                      <w:sz w:val="18"/>
                      <w:szCs w:val="18"/>
                    </w:rPr>
                  </w:pPr>
                  <w:r>
                    <w:rPr>
                      <w:sz w:val="18"/>
                      <w:szCs w:val="18"/>
                    </w:rPr>
                    <w:t>400</w:t>
                  </w:r>
                </w:p>
              </w:tc>
              <w:tc>
                <w:tcPr>
                  <w:tcW w:w="228" w:type="pct"/>
                  <w:vAlign w:val="center"/>
                </w:tcPr>
                <w:p>
                  <w:pPr>
                    <w:widowControl/>
                    <w:jc w:val="center"/>
                    <w:textAlignment w:val="center"/>
                    <w:rPr>
                      <w:sz w:val="18"/>
                      <w:szCs w:val="18"/>
                    </w:rPr>
                  </w:pPr>
                  <w:r>
                    <w:rPr>
                      <w:sz w:val="18"/>
                      <w:szCs w:val="18"/>
                    </w:rPr>
                    <w:t>0.0230</w:t>
                  </w:r>
                </w:p>
              </w:tc>
              <w:tc>
                <w:tcPr>
                  <w:tcW w:w="227" w:type="pct"/>
                  <w:vMerge w:val="restart"/>
                  <w:vAlign w:val="center"/>
                </w:tcPr>
                <w:p>
                  <w:pPr>
                    <w:jc w:val="center"/>
                    <w:rPr>
                      <w:sz w:val="18"/>
                      <w:szCs w:val="18"/>
                    </w:rPr>
                  </w:pPr>
                  <w:r>
                    <w:rPr>
                      <w:rFonts w:hint="eastAsia"/>
                      <w:sz w:val="18"/>
                      <w:szCs w:val="18"/>
                    </w:rPr>
                    <w:t>0.4</w:t>
                  </w:r>
                </w:p>
              </w:tc>
              <w:tc>
                <w:tcPr>
                  <w:tcW w:w="123" w:type="pct"/>
                  <w:vMerge w:val="restart"/>
                  <w:vAlign w:val="center"/>
                </w:tcPr>
                <w:p>
                  <w:pPr>
                    <w:jc w:val="center"/>
                    <w:rPr>
                      <w:sz w:val="18"/>
                      <w:szCs w:val="18"/>
                    </w:rPr>
                  </w:pPr>
                  <w:r>
                    <w:rPr>
                      <w:rFonts w:hint="eastAsia"/>
                      <w:sz w:val="18"/>
                      <w:szCs w:val="18"/>
                    </w:rPr>
                    <w:t>中和池</w:t>
                  </w:r>
                </w:p>
                <w:p>
                  <w:pPr>
                    <w:jc w:val="center"/>
                    <w:rPr>
                      <w:sz w:val="18"/>
                      <w:szCs w:val="18"/>
                    </w:rPr>
                  </w:pPr>
                  <w:r>
                    <w:rPr>
                      <w:rFonts w:hint="eastAsia"/>
                      <w:sz w:val="18"/>
                      <w:szCs w:val="18"/>
                    </w:rPr>
                    <w:t>+</w:t>
                  </w:r>
                </w:p>
                <w:p>
                  <w:pPr>
                    <w:jc w:val="center"/>
                    <w:rPr>
                      <w:sz w:val="18"/>
                      <w:szCs w:val="18"/>
                    </w:rPr>
                  </w:pPr>
                  <w:r>
                    <w:rPr>
                      <w:rFonts w:hint="eastAsia"/>
                      <w:sz w:val="18"/>
                      <w:szCs w:val="18"/>
                    </w:rPr>
                    <w:t>化粪池</w:t>
                  </w:r>
                </w:p>
              </w:tc>
              <w:tc>
                <w:tcPr>
                  <w:tcW w:w="138" w:type="pct"/>
                  <w:vMerge w:val="restart"/>
                  <w:vAlign w:val="center"/>
                </w:tcPr>
                <w:p>
                  <w:pPr>
                    <w:jc w:val="center"/>
                    <w:rPr>
                      <w:sz w:val="18"/>
                      <w:szCs w:val="18"/>
                    </w:rPr>
                  </w:pPr>
                  <w:r>
                    <w:rPr>
                      <w:rFonts w:hint="eastAsia"/>
                      <w:sz w:val="18"/>
                      <w:szCs w:val="18"/>
                    </w:rPr>
                    <w:t>/</w:t>
                  </w:r>
                </w:p>
              </w:tc>
              <w:tc>
                <w:tcPr>
                  <w:tcW w:w="157" w:type="pct"/>
                  <w:vMerge w:val="restart"/>
                  <w:vAlign w:val="center"/>
                </w:tcPr>
                <w:p>
                  <w:pPr>
                    <w:jc w:val="center"/>
                    <w:rPr>
                      <w:sz w:val="18"/>
                      <w:szCs w:val="18"/>
                    </w:rPr>
                  </w:pPr>
                  <w:r>
                    <w:rPr>
                      <w:rFonts w:hint="eastAsia"/>
                      <w:sz w:val="18"/>
                      <w:szCs w:val="18"/>
                    </w:rPr>
                    <w:t>是</w:t>
                  </w:r>
                </w:p>
              </w:tc>
              <w:tc>
                <w:tcPr>
                  <w:tcW w:w="233" w:type="pct"/>
                  <w:vMerge w:val="restart"/>
                  <w:vAlign w:val="center"/>
                </w:tcPr>
                <w:p>
                  <w:pPr>
                    <w:autoSpaceDE w:val="0"/>
                    <w:autoSpaceDN w:val="0"/>
                    <w:adjustRightInd w:val="0"/>
                    <w:jc w:val="center"/>
                    <w:rPr>
                      <w:sz w:val="18"/>
                      <w:szCs w:val="18"/>
                    </w:rPr>
                  </w:pPr>
                  <w:r>
                    <w:rPr>
                      <w:rFonts w:hint="eastAsia"/>
                      <w:sz w:val="18"/>
                      <w:szCs w:val="18"/>
                    </w:rPr>
                    <w:t>72</w:t>
                  </w:r>
                </w:p>
              </w:tc>
              <w:tc>
                <w:tcPr>
                  <w:tcW w:w="310" w:type="pct"/>
                  <w:vAlign w:val="center"/>
                </w:tcPr>
                <w:p>
                  <w:pPr>
                    <w:snapToGrid w:val="0"/>
                    <w:jc w:val="center"/>
                    <w:rPr>
                      <w:sz w:val="18"/>
                      <w:szCs w:val="18"/>
                    </w:rPr>
                  </w:pPr>
                  <w:r>
                    <w:rPr>
                      <w:rFonts w:hint="eastAsia"/>
                      <w:sz w:val="18"/>
                      <w:szCs w:val="18"/>
                    </w:rPr>
                    <w:t>50</w:t>
                  </w:r>
                </w:p>
              </w:tc>
              <w:tc>
                <w:tcPr>
                  <w:tcW w:w="242" w:type="pct"/>
                  <w:tcBorders>
                    <w:top w:val="single" w:color="auto" w:sz="4" w:space="0"/>
                  </w:tcBorders>
                  <w:vAlign w:val="center"/>
                </w:tcPr>
                <w:p>
                  <w:pPr>
                    <w:widowControl/>
                    <w:jc w:val="center"/>
                    <w:textAlignment w:val="center"/>
                    <w:rPr>
                      <w:sz w:val="18"/>
                      <w:szCs w:val="18"/>
                    </w:rPr>
                  </w:pPr>
                  <w:r>
                    <w:rPr>
                      <w:rFonts w:hint="eastAsia"/>
                      <w:sz w:val="18"/>
                      <w:szCs w:val="18"/>
                    </w:rPr>
                    <w:t>0.0036</w:t>
                  </w:r>
                </w:p>
              </w:tc>
              <w:tc>
                <w:tcPr>
                  <w:tcW w:w="216" w:type="pct"/>
                  <w:vMerge w:val="continue"/>
                  <w:vAlign w:val="center"/>
                </w:tcPr>
                <w:p>
                  <w:pPr>
                    <w:autoSpaceDE w:val="0"/>
                    <w:autoSpaceDN w:val="0"/>
                    <w:adjustRightInd w:val="0"/>
                    <w:jc w:val="center"/>
                    <w:rPr>
                      <w:sz w:val="18"/>
                      <w:szCs w:val="18"/>
                      <w:highlight w:val="yellow"/>
                    </w:rPr>
                  </w:pPr>
                </w:p>
              </w:tc>
              <w:tc>
                <w:tcPr>
                  <w:tcW w:w="228" w:type="pct"/>
                  <w:vMerge w:val="continue"/>
                  <w:vAlign w:val="center"/>
                </w:tcPr>
                <w:p>
                  <w:pPr>
                    <w:pStyle w:val="2"/>
                    <w:spacing w:line="240" w:lineRule="auto"/>
                    <w:ind w:firstLine="0" w:firstLineChars="0"/>
                    <w:jc w:val="center"/>
                    <w:rPr>
                      <w:sz w:val="18"/>
                      <w:szCs w:val="18"/>
                      <w:highlight w:val="yellow"/>
                      <w:lang w:val="en-US" w:eastAsia="zh-CN"/>
                    </w:rPr>
                  </w:pPr>
                </w:p>
              </w:tc>
              <w:tc>
                <w:tcPr>
                  <w:tcW w:w="275" w:type="pct"/>
                  <w:vMerge w:val="continue"/>
                  <w:vAlign w:val="center"/>
                </w:tcPr>
                <w:p>
                  <w:pPr>
                    <w:pStyle w:val="2"/>
                    <w:spacing w:line="240" w:lineRule="auto"/>
                    <w:ind w:firstLine="0" w:firstLineChars="0"/>
                    <w:jc w:val="center"/>
                    <w:rPr>
                      <w:sz w:val="18"/>
                      <w:szCs w:val="18"/>
                      <w:highlight w:val="yellow"/>
                      <w:lang w:val="en-US" w:eastAsia="zh-CN"/>
                    </w:rPr>
                  </w:pPr>
                </w:p>
              </w:tc>
              <w:tc>
                <w:tcPr>
                  <w:tcW w:w="293" w:type="pct"/>
                  <w:vMerge w:val="continue"/>
                  <w:vAlign w:val="center"/>
                </w:tcPr>
                <w:p>
                  <w:pPr>
                    <w:jc w:val="center"/>
                    <w:rPr>
                      <w:sz w:val="18"/>
                      <w:szCs w:val="18"/>
                      <w:highlight w:val="yellow"/>
                    </w:rPr>
                  </w:pPr>
                </w:p>
              </w:tc>
              <w:tc>
                <w:tcPr>
                  <w:tcW w:w="184" w:type="pct"/>
                  <w:vMerge w:val="continue"/>
                  <w:vAlign w:val="center"/>
                </w:tcPr>
                <w:p>
                  <w:pPr>
                    <w:jc w:val="center"/>
                    <w:rPr>
                      <w:sz w:val="18"/>
                      <w:szCs w:val="18"/>
                      <w:highlight w:val="yellow"/>
                    </w:rPr>
                  </w:pPr>
                </w:p>
              </w:tc>
              <w:tc>
                <w:tcPr>
                  <w:tcW w:w="307" w:type="pct"/>
                  <w:vMerge w:val="continue"/>
                  <w:vAlign w:val="center"/>
                </w:tcPr>
                <w:p>
                  <w:pPr>
                    <w:pStyle w:val="2"/>
                    <w:spacing w:line="240" w:lineRule="auto"/>
                    <w:ind w:firstLine="0" w:firstLineChars="0"/>
                    <w:jc w:val="center"/>
                    <w:rPr>
                      <w:sz w:val="18"/>
                      <w:szCs w:val="18"/>
                      <w:highlight w:val="yellow"/>
                      <w:lang w:val="en-US" w:eastAsia="zh-CN"/>
                    </w:rPr>
                  </w:pPr>
                </w:p>
              </w:tc>
              <w:tc>
                <w:tcPr>
                  <w:tcW w:w="367" w:type="pct"/>
                  <w:vMerge w:val="continue"/>
                  <w:vAlign w:val="center"/>
                </w:tcPr>
                <w:p>
                  <w:pPr>
                    <w:pStyle w:val="2"/>
                    <w:spacing w:line="240" w:lineRule="auto"/>
                    <w:ind w:firstLine="0" w:firstLineChars="0"/>
                    <w:jc w:val="center"/>
                    <w:rPr>
                      <w:sz w:val="18"/>
                      <w:szCs w:val="18"/>
                      <w:highlight w:val="yellow"/>
                      <w:lang w:val="en-US" w:eastAsia="zh-CN"/>
                    </w:rPr>
                  </w:pPr>
                </w:p>
              </w:tc>
              <w:tc>
                <w:tcPr>
                  <w:tcW w:w="377" w:type="pct"/>
                  <w:vMerge w:val="restart"/>
                  <w:tcBorders>
                    <w:top w:val="single" w:color="auto" w:sz="4" w:space="0"/>
                  </w:tcBorders>
                  <w:vAlign w:val="center"/>
                </w:tcPr>
                <w:p>
                  <w:pPr>
                    <w:pStyle w:val="50"/>
                    <w:spacing w:line="240" w:lineRule="auto"/>
                    <w:rPr>
                      <w:sz w:val="18"/>
                      <w:szCs w:val="18"/>
                      <w:highlight w:val="yellow"/>
                    </w:rPr>
                  </w:pPr>
                  <w:r>
                    <w:rPr>
                      <w:b w:val="0"/>
                      <w:bCs/>
                      <w:sz w:val="18"/>
                      <w:szCs w:val="18"/>
                      <w:lang w:val="zh-CN"/>
                    </w:rPr>
                    <w:t>《污水综合排放标准》中三级标准</w:t>
                  </w:r>
                </w:p>
              </w:tc>
              <w:tc>
                <w:tcPr>
                  <w:tcW w:w="302" w:type="pct"/>
                  <w:tcBorders>
                    <w:top w:val="single" w:color="auto" w:sz="4" w:space="0"/>
                    <w:bottom w:val="single" w:color="000000" w:sz="4" w:space="0"/>
                  </w:tcBorders>
                  <w:vAlign w:val="center"/>
                </w:tcPr>
                <w:p>
                  <w:pPr>
                    <w:pStyle w:val="50"/>
                    <w:spacing w:line="240" w:lineRule="auto"/>
                    <w:rPr>
                      <w:b w:val="0"/>
                      <w:bCs/>
                      <w:sz w:val="18"/>
                      <w:szCs w:val="18"/>
                    </w:rPr>
                  </w:pPr>
                  <w:r>
                    <w:rPr>
                      <w:rFonts w:hint="eastAsia"/>
                      <w:b w:val="0"/>
                      <w:bCs/>
                      <w:sz w:val="18"/>
                      <w:szCs w:val="18"/>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8" w:hRule="atLeast"/>
                <w:jc w:val="center"/>
              </w:trPr>
              <w:tc>
                <w:tcPr>
                  <w:tcW w:w="129" w:type="pct"/>
                  <w:vMerge w:val="continue"/>
                  <w:tcBorders>
                    <w:right w:val="single" w:color="000000" w:sz="6" w:space="0"/>
                  </w:tcBorders>
                  <w:vAlign w:val="center"/>
                </w:tcPr>
                <w:p>
                  <w:pPr>
                    <w:jc w:val="center"/>
                    <w:rPr>
                      <w:sz w:val="18"/>
                      <w:szCs w:val="18"/>
                    </w:rPr>
                  </w:pPr>
                </w:p>
              </w:tc>
              <w:tc>
                <w:tcPr>
                  <w:tcW w:w="96" w:type="pct"/>
                  <w:vMerge w:val="continue"/>
                  <w:tcBorders>
                    <w:left w:val="single" w:color="000000" w:sz="6" w:space="0"/>
                  </w:tcBorders>
                  <w:vAlign w:val="center"/>
                </w:tcPr>
                <w:p>
                  <w:pPr>
                    <w:jc w:val="center"/>
                    <w:rPr>
                      <w:sz w:val="18"/>
                      <w:szCs w:val="18"/>
                    </w:rPr>
                  </w:pPr>
                </w:p>
              </w:tc>
              <w:tc>
                <w:tcPr>
                  <w:tcW w:w="260" w:type="pct"/>
                  <w:tcBorders>
                    <w:left w:val="single" w:color="000000" w:sz="6" w:space="0"/>
                  </w:tcBorders>
                  <w:vAlign w:val="center"/>
                </w:tcPr>
                <w:p>
                  <w:pPr>
                    <w:pStyle w:val="2"/>
                    <w:spacing w:line="240" w:lineRule="auto"/>
                    <w:ind w:firstLine="0" w:firstLineChars="0"/>
                    <w:jc w:val="center"/>
                    <w:rPr>
                      <w:sz w:val="18"/>
                      <w:szCs w:val="18"/>
                      <w:lang w:val="en-US" w:eastAsia="zh-CN"/>
                    </w:rPr>
                  </w:pPr>
                  <w:r>
                    <w:rPr>
                      <w:sz w:val="18"/>
                      <w:szCs w:val="18"/>
                      <w:lang w:val="en-US" w:eastAsia="zh-CN"/>
                    </w:rPr>
                    <w:t>SS</w:t>
                  </w:r>
                </w:p>
              </w:tc>
              <w:tc>
                <w:tcPr>
                  <w:tcW w:w="301" w:type="pct"/>
                  <w:vAlign w:val="center"/>
                </w:tcPr>
                <w:p>
                  <w:pPr>
                    <w:snapToGrid w:val="0"/>
                    <w:jc w:val="center"/>
                    <w:rPr>
                      <w:sz w:val="18"/>
                      <w:szCs w:val="18"/>
                    </w:rPr>
                  </w:pPr>
                  <w:r>
                    <w:rPr>
                      <w:sz w:val="18"/>
                      <w:szCs w:val="18"/>
                    </w:rPr>
                    <w:t>300</w:t>
                  </w:r>
                </w:p>
              </w:tc>
              <w:tc>
                <w:tcPr>
                  <w:tcW w:w="228" w:type="pct"/>
                  <w:vAlign w:val="center"/>
                </w:tcPr>
                <w:p>
                  <w:pPr>
                    <w:widowControl/>
                    <w:jc w:val="center"/>
                    <w:textAlignment w:val="center"/>
                    <w:rPr>
                      <w:sz w:val="18"/>
                      <w:szCs w:val="18"/>
                    </w:rPr>
                  </w:pPr>
                  <w:r>
                    <w:rPr>
                      <w:sz w:val="18"/>
                      <w:szCs w:val="18"/>
                    </w:rPr>
                    <w:t>0.0173</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vMerge w:val="continue"/>
                  <w:vAlign w:val="center"/>
                </w:tcPr>
                <w:p>
                  <w:pPr>
                    <w:jc w:val="center"/>
                    <w:rPr>
                      <w:sz w:val="18"/>
                      <w:szCs w:val="18"/>
                    </w:rPr>
                  </w:pPr>
                </w:p>
              </w:tc>
              <w:tc>
                <w:tcPr>
                  <w:tcW w:w="157" w:type="pct"/>
                  <w:vMerge w:val="continue"/>
                  <w:vAlign w:val="center"/>
                </w:tcPr>
                <w:p>
                  <w:pPr>
                    <w:jc w:val="center"/>
                    <w:rPr>
                      <w:sz w:val="18"/>
                      <w:szCs w:val="18"/>
                    </w:rPr>
                  </w:pPr>
                </w:p>
              </w:tc>
              <w:tc>
                <w:tcPr>
                  <w:tcW w:w="233" w:type="pct"/>
                  <w:vMerge w:val="continue"/>
                  <w:vAlign w:val="center"/>
                </w:tcPr>
                <w:p>
                  <w:pPr>
                    <w:autoSpaceDE w:val="0"/>
                    <w:autoSpaceDN w:val="0"/>
                    <w:adjustRightInd w:val="0"/>
                    <w:jc w:val="center"/>
                    <w:rPr>
                      <w:sz w:val="18"/>
                      <w:szCs w:val="18"/>
                    </w:rPr>
                  </w:pPr>
                </w:p>
              </w:tc>
              <w:tc>
                <w:tcPr>
                  <w:tcW w:w="310" w:type="pct"/>
                  <w:vAlign w:val="center"/>
                </w:tcPr>
                <w:p>
                  <w:pPr>
                    <w:snapToGrid w:val="0"/>
                    <w:jc w:val="center"/>
                    <w:rPr>
                      <w:sz w:val="18"/>
                      <w:szCs w:val="18"/>
                    </w:rPr>
                  </w:pPr>
                  <w:r>
                    <w:rPr>
                      <w:rFonts w:hint="eastAsia"/>
                      <w:sz w:val="18"/>
                      <w:szCs w:val="18"/>
                    </w:rPr>
                    <w:t>10</w:t>
                  </w:r>
                </w:p>
              </w:tc>
              <w:tc>
                <w:tcPr>
                  <w:tcW w:w="242" w:type="pct"/>
                  <w:tcBorders>
                    <w:bottom w:val="single" w:color="000000" w:sz="4" w:space="0"/>
                  </w:tcBorders>
                  <w:vAlign w:val="center"/>
                </w:tcPr>
                <w:p>
                  <w:pPr>
                    <w:widowControl/>
                    <w:jc w:val="center"/>
                    <w:textAlignment w:val="center"/>
                    <w:rPr>
                      <w:sz w:val="18"/>
                      <w:szCs w:val="18"/>
                    </w:rPr>
                  </w:pPr>
                  <w:r>
                    <w:rPr>
                      <w:rFonts w:hint="eastAsia"/>
                      <w:sz w:val="18"/>
                      <w:szCs w:val="18"/>
                    </w:rPr>
                    <w:t>0.0007</w:t>
                  </w:r>
                </w:p>
              </w:tc>
              <w:tc>
                <w:tcPr>
                  <w:tcW w:w="216" w:type="pct"/>
                  <w:vMerge w:val="continue"/>
                  <w:vAlign w:val="center"/>
                </w:tcPr>
                <w:p>
                  <w:pPr>
                    <w:autoSpaceDE w:val="0"/>
                    <w:autoSpaceDN w:val="0"/>
                    <w:adjustRightInd w:val="0"/>
                    <w:jc w:val="center"/>
                    <w:rPr>
                      <w:sz w:val="18"/>
                      <w:szCs w:val="18"/>
                      <w:highlight w:val="yellow"/>
                    </w:rPr>
                  </w:pPr>
                </w:p>
              </w:tc>
              <w:tc>
                <w:tcPr>
                  <w:tcW w:w="228" w:type="pct"/>
                  <w:vMerge w:val="continue"/>
                  <w:vAlign w:val="center"/>
                </w:tcPr>
                <w:p>
                  <w:pPr>
                    <w:autoSpaceDE w:val="0"/>
                    <w:autoSpaceDN w:val="0"/>
                    <w:adjustRightInd w:val="0"/>
                    <w:jc w:val="center"/>
                    <w:rPr>
                      <w:sz w:val="18"/>
                      <w:szCs w:val="18"/>
                      <w:highlight w:val="yellow"/>
                    </w:rPr>
                  </w:pPr>
                </w:p>
              </w:tc>
              <w:tc>
                <w:tcPr>
                  <w:tcW w:w="275" w:type="pct"/>
                  <w:vMerge w:val="continue"/>
                  <w:vAlign w:val="center"/>
                </w:tcPr>
                <w:p>
                  <w:pPr>
                    <w:autoSpaceDE w:val="0"/>
                    <w:autoSpaceDN w:val="0"/>
                    <w:adjustRightInd w:val="0"/>
                    <w:jc w:val="center"/>
                    <w:rPr>
                      <w:sz w:val="18"/>
                      <w:szCs w:val="18"/>
                      <w:highlight w:val="yellow"/>
                    </w:rPr>
                  </w:pPr>
                </w:p>
              </w:tc>
              <w:tc>
                <w:tcPr>
                  <w:tcW w:w="293" w:type="pct"/>
                  <w:vMerge w:val="continue"/>
                  <w:vAlign w:val="center"/>
                </w:tcPr>
                <w:p>
                  <w:pPr>
                    <w:jc w:val="center"/>
                    <w:rPr>
                      <w:sz w:val="18"/>
                      <w:szCs w:val="18"/>
                      <w:highlight w:val="yellow"/>
                    </w:rPr>
                  </w:pPr>
                </w:p>
              </w:tc>
              <w:tc>
                <w:tcPr>
                  <w:tcW w:w="184" w:type="pct"/>
                  <w:vMerge w:val="continue"/>
                  <w:vAlign w:val="center"/>
                </w:tcPr>
                <w:p>
                  <w:pPr>
                    <w:jc w:val="center"/>
                    <w:rPr>
                      <w:sz w:val="18"/>
                      <w:szCs w:val="18"/>
                      <w:highlight w:val="yellow"/>
                    </w:rPr>
                  </w:pPr>
                </w:p>
              </w:tc>
              <w:tc>
                <w:tcPr>
                  <w:tcW w:w="307" w:type="pct"/>
                  <w:vMerge w:val="continue"/>
                  <w:vAlign w:val="center"/>
                </w:tcPr>
                <w:p>
                  <w:pPr>
                    <w:jc w:val="center"/>
                    <w:rPr>
                      <w:sz w:val="18"/>
                      <w:szCs w:val="18"/>
                      <w:highlight w:val="yellow"/>
                    </w:rPr>
                  </w:pPr>
                </w:p>
              </w:tc>
              <w:tc>
                <w:tcPr>
                  <w:tcW w:w="367" w:type="pct"/>
                  <w:vMerge w:val="continue"/>
                  <w:vAlign w:val="center"/>
                </w:tcPr>
                <w:p>
                  <w:pPr>
                    <w:jc w:val="center"/>
                    <w:rPr>
                      <w:sz w:val="18"/>
                      <w:szCs w:val="18"/>
                      <w:highlight w:val="yellow"/>
                    </w:rPr>
                  </w:pPr>
                </w:p>
              </w:tc>
              <w:tc>
                <w:tcPr>
                  <w:tcW w:w="377" w:type="pct"/>
                  <w:vMerge w:val="continue"/>
                  <w:tcBorders>
                    <w:bottom w:val="single" w:color="auto" w:sz="4" w:space="0"/>
                  </w:tcBorders>
                  <w:vAlign w:val="center"/>
                </w:tcPr>
                <w:p>
                  <w:pPr>
                    <w:pStyle w:val="50"/>
                    <w:spacing w:line="240" w:lineRule="auto"/>
                    <w:rPr>
                      <w:sz w:val="18"/>
                      <w:szCs w:val="18"/>
                      <w:highlight w:val="yellow"/>
                    </w:rPr>
                  </w:pPr>
                </w:p>
              </w:tc>
              <w:tc>
                <w:tcPr>
                  <w:tcW w:w="302" w:type="pct"/>
                  <w:tcBorders>
                    <w:top w:val="single" w:color="000000" w:sz="4" w:space="0"/>
                    <w:bottom w:val="single" w:color="000000" w:sz="4" w:space="0"/>
                  </w:tcBorders>
                  <w:vAlign w:val="center"/>
                </w:tcPr>
                <w:p>
                  <w:pPr>
                    <w:pStyle w:val="50"/>
                    <w:spacing w:line="240" w:lineRule="auto"/>
                    <w:rPr>
                      <w:b w:val="0"/>
                      <w:bCs/>
                      <w:sz w:val="18"/>
                      <w:szCs w:val="18"/>
                    </w:rPr>
                  </w:pPr>
                  <w:r>
                    <w:rPr>
                      <w:rFonts w:hint="eastAsia"/>
                      <w:b w:val="0"/>
                      <w:bCs/>
                      <w:sz w:val="18"/>
                      <w:szCs w:val="18"/>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7" w:hRule="atLeast"/>
                <w:jc w:val="center"/>
              </w:trPr>
              <w:tc>
                <w:tcPr>
                  <w:tcW w:w="129" w:type="pct"/>
                  <w:vMerge w:val="continue"/>
                  <w:tcBorders>
                    <w:right w:val="single" w:color="000000" w:sz="6" w:space="0"/>
                  </w:tcBorders>
                  <w:vAlign w:val="center"/>
                </w:tcPr>
                <w:p>
                  <w:pPr>
                    <w:jc w:val="center"/>
                    <w:rPr>
                      <w:sz w:val="18"/>
                      <w:szCs w:val="18"/>
                      <w:highlight w:val="yellow"/>
                    </w:rPr>
                  </w:pPr>
                </w:p>
              </w:tc>
              <w:tc>
                <w:tcPr>
                  <w:tcW w:w="96" w:type="pct"/>
                  <w:vMerge w:val="continue"/>
                  <w:tcBorders>
                    <w:left w:val="single" w:color="000000" w:sz="6" w:space="0"/>
                  </w:tcBorders>
                  <w:vAlign w:val="center"/>
                </w:tcPr>
                <w:p>
                  <w:pPr>
                    <w:jc w:val="center"/>
                    <w:rPr>
                      <w:sz w:val="18"/>
                      <w:szCs w:val="18"/>
                      <w:highlight w:val="yellow"/>
                    </w:rPr>
                  </w:pPr>
                </w:p>
              </w:tc>
              <w:tc>
                <w:tcPr>
                  <w:tcW w:w="260" w:type="pct"/>
                  <w:tcBorders>
                    <w:left w:val="single" w:color="000000" w:sz="6" w:space="0"/>
                  </w:tcBorders>
                  <w:vAlign w:val="center"/>
                </w:tcPr>
                <w:p>
                  <w:pPr>
                    <w:pStyle w:val="2"/>
                    <w:spacing w:line="240" w:lineRule="auto"/>
                    <w:ind w:firstLine="0" w:firstLineChars="0"/>
                    <w:jc w:val="center"/>
                    <w:rPr>
                      <w:sz w:val="18"/>
                      <w:szCs w:val="18"/>
                      <w:lang w:val="en-US" w:eastAsia="zh-CN"/>
                    </w:rPr>
                  </w:pPr>
                  <w:r>
                    <w:rPr>
                      <w:sz w:val="18"/>
                      <w:szCs w:val="18"/>
                      <w:lang w:val="en-US" w:eastAsia="zh-CN"/>
                    </w:rPr>
                    <w:t>NH</w:t>
                  </w:r>
                  <w:r>
                    <w:rPr>
                      <w:sz w:val="18"/>
                      <w:szCs w:val="18"/>
                      <w:vertAlign w:val="subscript"/>
                      <w:lang w:val="en-US" w:eastAsia="zh-CN"/>
                    </w:rPr>
                    <w:t>3</w:t>
                  </w:r>
                  <w:r>
                    <w:rPr>
                      <w:sz w:val="18"/>
                      <w:szCs w:val="18"/>
                      <w:lang w:val="en-US" w:eastAsia="zh-CN"/>
                    </w:rPr>
                    <w:t>-N</w:t>
                  </w:r>
                </w:p>
              </w:tc>
              <w:tc>
                <w:tcPr>
                  <w:tcW w:w="301" w:type="pct"/>
                  <w:vAlign w:val="center"/>
                </w:tcPr>
                <w:p>
                  <w:pPr>
                    <w:snapToGrid w:val="0"/>
                    <w:jc w:val="center"/>
                    <w:rPr>
                      <w:sz w:val="18"/>
                      <w:szCs w:val="18"/>
                    </w:rPr>
                  </w:pPr>
                  <w:r>
                    <w:rPr>
                      <w:sz w:val="18"/>
                      <w:szCs w:val="18"/>
                    </w:rPr>
                    <w:t>30</w:t>
                  </w:r>
                </w:p>
              </w:tc>
              <w:tc>
                <w:tcPr>
                  <w:tcW w:w="228" w:type="pct"/>
                  <w:vAlign w:val="center"/>
                </w:tcPr>
                <w:p>
                  <w:pPr>
                    <w:widowControl/>
                    <w:jc w:val="center"/>
                    <w:textAlignment w:val="center"/>
                    <w:rPr>
                      <w:sz w:val="18"/>
                      <w:szCs w:val="18"/>
                    </w:rPr>
                  </w:pPr>
                  <w:r>
                    <w:rPr>
                      <w:sz w:val="18"/>
                      <w:szCs w:val="18"/>
                    </w:rPr>
                    <w:t>0.0017</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vMerge w:val="continue"/>
                  <w:vAlign w:val="center"/>
                </w:tcPr>
                <w:p>
                  <w:pPr>
                    <w:jc w:val="center"/>
                    <w:rPr>
                      <w:sz w:val="18"/>
                      <w:szCs w:val="18"/>
                    </w:rPr>
                  </w:pPr>
                </w:p>
              </w:tc>
              <w:tc>
                <w:tcPr>
                  <w:tcW w:w="157" w:type="pct"/>
                  <w:vMerge w:val="continue"/>
                  <w:vAlign w:val="center"/>
                </w:tcPr>
                <w:p>
                  <w:pPr>
                    <w:jc w:val="center"/>
                    <w:rPr>
                      <w:sz w:val="18"/>
                      <w:szCs w:val="18"/>
                    </w:rPr>
                  </w:pPr>
                </w:p>
              </w:tc>
              <w:tc>
                <w:tcPr>
                  <w:tcW w:w="233" w:type="pct"/>
                  <w:vMerge w:val="continue"/>
                  <w:vAlign w:val="center"/>
                </w:tcPr>
                <w:p>
                  <w:pPr>
                    <w:autoSpaceDE w:val="0"/>
                    <w:autoSpaceDN w:val="0"/>
                    <w:adjustRightInd w:val="0"/>
                    <w:jc w:val="center"/>
                    <w:rPr>
                      <w:sz w:val="18"/>
                      <w:szCs w:val="18"/>
                    </w:rPr>
                  </w:pPr>
                </w:p>
              </w:tc>
              <w:tc>
                <w:tcPr>
                  <w:tcW w:w="310" w:type="pct"/>
                  <w:vAlign w:val="center"/>
                </w:tcPr>
                <w:p>
                  <w:pPr>
                    <w:snapToGrid w:val="0"/>
                    <w:jc w:val="center"/>
                    <w:rPr>
                      <w:sz w:val="18"/>
                      <w:szCs w:val="18"/>
                    </w:rPr>
                  </w:pPr>
                  <w:r>
                    <w:rPr>
                      <w:rFonts w:hint="eastAsia"/>
                      <w:sz w:val="18"/>
                      <w:szCs w:val="18"/>
                    </w:rPr>
                    <w:t>5</w:t>
                  </w:r>
                </w:p>
              </w:tc>
              <w:tc>
                <w:tcPr>
                  <w:tcW w:w="242" w:type="pct"/>
                  <w:tcBorders>
                    <w:top w:val="single" w:color="000000" w:sz="4" w:space="0"/>
                  </w:tcBorders>
                  <w:vAlign w:val="center"/>
                </w:tcPr>
                <w:p>
                  <w:pPr>
                    <w:widowControl/>
                    <w:jc w:val="center"/>
                    <w:textAlignment w:val="center"/>
                    <w:rPr>
                      <w:sz w:val="18"/>
                      <w:szCs w:val="18"/>
                    </w:rPr>
                  </w:pPr>
                  <w:r>
                    <w:rPr>
                      <w:rFonts w:hint="eastAsia"/>
                      <w:sz w:val="18"/>
                      <w:szCs w:val="18"/>
                    </w:rPr>
                    <w:t>0.0004</w:t>
                  </w:r>
                </w:p>
              </w:tc>
              <w:tc>
                <w:tcPr>
                  <w:tcW w:w="216" w:type="pct"/>
                  <w:vMerge w:val="continue"/>
                  <w:vAlign w:val="center"/>
                </w:tcPr>
                <w:p>
                  <w:pPr>
                    <w:autoSpaceDE w:val="0"/>
                    <w:autoSpaceDN w:val="0"/>
                    <w:adjustRightInd w:val="0"/>
                    <w:jc w:val="center"/>
                    <w:rPr>
                      <w:sz w:val="18"/>
                      <w:szCs w:val="18"/>
                    </w:rPr>
                  </w:pPr>
                </w:p>
              </w:tc>
              <w:tc>
                <w:tcPr>
                  <w:tcW w:w="228" w:type="pct"/>
                  <w:vMerge w:val="continue"/>
                  <w:vAlign w:val="center"/>
                </w:tcPr>
                <w:p>
                  <w:pPr>
                    <w:autoSpaceDE w:val="0"/>
                    <w:autoSpaceDN w:val="0"/>
                    <w:adjustRightInd w:val="0"/>
                    <w:jc w:val="center"/>
                    <w:rPr>
                      <w:sz w:val="18"/>
                      <w:szCs w:val="18"/>
                    </w:rPr>
                  </w:pPr>
                </w:p>
              </w:tc>
              <w:tc>
                <w:tcPr>
                  <w:tcW w:w="275" w:type="pct"/>
                  <w:vMerge w:val="continue"/>
                  <w:vAlign w:val="center"/>
                </w:tcPr>
                <w:p>
                  <w:pPr>
                    <w:autoSpaceDE w:val="0"/>
                    <w:autoSpaceDN w:val="0"/>
                    <w:adjustRightInd w:val="0"/>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jc w:val="center"/>
                    <w:rPr>
                      <w:sz w:val="18"/>
                      <w:szCs w:val="18"/>
                    </w:rPr>
                  </w:pPr>
                </w:p>
              </w:tc>
              <w:tc>
                <w:tcPr>
                  <w:tcW w:w="367" w:type="pct"/>
                  <w:vMerge w:val="continue"/>
                  <w:vAlign w:val="center"/>
                </w:tcPr>
                <w:p>
                  <w:pPr>
                    <w:jc w:val="center"/>
                    <w:rPr>
                      <w:sz w:val="18"/>
                      <w:szCs w:val="18"/>
                    </w:rPr>
                  </w:pPr>
                </w:p>
              </w:tc>
              <w:tc>
                <w:tcPr>
                  <w:tcW w:w="377" w:type="pct"/>
                  <w:tcBorders>
                    <w:top w:val="single" w:color="auto" w:sz="4" w:space="0"/>
                    <w:bottom w:val="single" w:color="auto" w:sz="4" w:space="0"/>
                  </w:tcBorders>
                  <w:vAlign w:val="center"/>
                </w:tcPr>
                <w:p>
                  <w:pPr>
                    <w:pStyle w:val="2"/>
                    <w:spacing w:line="240" w:lineRule="auto"/>
                    <w:ind w:firstLine="0" w:firstLineChars="0"/>
                    <w:rPr>
                      <w:sz w:val="18"/>
                      <w:szCs w:val="18"/>
                      <w:lang w:val="en-US" w:eastAsia="zh-CN"/>
                    </w:rPr>
                  </w:pPr>
                  <w:r>
                    <w:rPr>
                      <w:sz w:val="18"/>
                      <w:szCs w:val="18"/>
                      <w:lang w:val="zh-CN" w:eastAsia="zh-CN"/>
                    </w:rPr>
                    <w:t>《污水排入城镇下水道水质标准》</w:t>
                  </w:r>
                  <w:r>
                    <w:rPr>
                      <w:rFonts w:hint="eastAsia"/>
                      <w:sz w:val="18"/>
                      <w:szCs w:val="18"/>
                      <w:lang w:val="en-US" w:eastAsia="zh-CN"/>
                    </w:rPr>
                    <w:t>B级限值</w:t>
                  </w:r>
                </w:p>
              </w:tc>
              <w:tc>
                <w:tcPr>
                  <w:tcW w:w="302" w:type="pct"/>
                  <w:tcBorders>
                    <w:top w:val="single" w:color="000000" w:sz="4" w:space="0"/>
                    <w:bottom w:val="single" w:color="000000" w:sz="4" w:space="0"/>
                  </w:tcBorders>
                  <w:vAlign w:val="center"/>
                </w:tcPr>
                <w:p>
                  <w:pPr>
                    <w:pStyle w:val="2"/>
                    <w:spacing w:line="240" w:lineRule="auto"/>
                    <w:ind w:firstLine="0" w:firstLineChars="0"/>
                    <w:jc w:val="center"/>
                    <w:rPr>
                      <w:bCs/>
                      <w:sz w:val="18"/>
                      <w:szCs w:val="18"/>
                      <w:lang w:val="en-US" w:eastAsia="zh-CN"/>
                    </w:rPr>
                  </w:pPr>
                  <w:r>
                    <w:rPr>
                      <w:rFonts w:hint="eastAsia"/>
                      <w:bCs/>
                      <w:sz w:val="18"/>
                      <w:szCs w:val="18"/>
                      <w:lang w:val="en-US" w:eastAsia="zh-CN"/>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129" w:type="pct"/>
                  <w:vMerge w:val="restart"/>
                  <w:tcBorders>
                    <w:right w:val="single" w:color="000000" w:sz="6" w:space="0"/>
                  </w:tcBorders>
                  <w:vAlign w:val="center"/>
                </w:tcPr>
                <w:p>
                  <w:pPr>
                    <w:jc w:val="center"/>
                    <w:rPr>
                      <w:sz w:val="18"/>
                      <w:szCs w:val="18"/>
                    </w:rPr>
                  </w:pPr>
                  <w:r>
                    <w:rPr>
                      <w:rFonts w:hint="eastAsia"/>
                      <w:sz w:val="18"/>
                      <w:szCs w:val="18"/>
                    </w:rPr>
                    <w:t>食堂餐饮用水</w:t>
                  </w:r>
                </w:p>
              </w:tc>
              <w:tc>
                <w:tcPr>
                  <w:tcW w:w="96" w:type="pct"/>
                  <w:vMerge w:val="restart"/>
                  <w:tcBorders>
                    <w:left w:val="single" w:color="000000" w:sz="6" w:space="0"/>
                  </w:tcBorders>
                  <w:vAlign w:val="center"/>
                </w:tcPr>
                <w:p>
                  <w:pPr>
                    <w:jc w:val="center"/>
                    <w:rPr>
                      <w:sz w:val="18"/>
                      <w:szCs w:val="18"/>
                    </w:rPr>
                  </w:pPr>
                  <w:r>
                    <w:rPr>
                      <w:rFonts w:hint="eastAsia"/>
                      <w:sz w:val="18"/>
                      <w:szCs w:val="18"/>
                    </w:rPr>
                    <w:t>餐饮废水</w:t>
                  </w:r>
                </w:p>
              </w:tc>
              <w:tc>
                <w:tcPr>
                  <w:tcW w:w="260" w:type="pct"/>
                  <w:tcBorders>
                    <w:left w:val="single" w:color="000000" w:sz="6" w:space="0"/>
                    <w:bottom w:val="single" w:color="000000" w:sz="4" w:space="0"/>
                  </w:tcBorders>
                  <w:vAlign w:val="center"/>
                </w:tcPr>
                <w:p>
                  <w:pPr>
                    <w:jc w:val="center"/>
                    <w:rPr>
                      <w:sz w:val="18"/>
                      <w:szCs w:val="18"/>
                    </w:rPr>
                  </w:pPr>
                  <w:r>
                    <w:rPr>
                      <w:sz w:val="18"/>
                      <w:szCs w:val="18"/>
                    </w:rPr>
                    <w:t>COD</w:t>
                  </w:r>
                  <w:r>
                    <w:rPr>
                      <w:sz w:val="18"/>
                      <w:szCs w:val="18"/>
                      <w:vertAlign w:val="subscript"/>
                    </w:rPr>
                    <w:t>Cr</w:t>
                  </w:r>
                </w:p>
              </w:tc>
              <w:tc>
                <w:tcPr>
                  <w:tcW w:w="301" w:type="pct"/>
                  <w:tcBorders>
                    <w:bottom w:val="single" w:color="000000" w:sz="4" w:space="0"/>
                  </w:tcBorders>
                  <w:vAlign w:val="center"/>
                </w:tcPr>
                <w:p>
                  <w:pPr>
                    <w:jc w:val="center"/>
                    <w:rPr>
                      <w:sz w:val="18"/>
                      <w:szCs w:val="18"/>
                    </w:rPr>
                  </w:pPr>
                  <w:r>
                    <w:rPr>
                      <w:sz w:val="18"/>
                      <w:szCs w:val="18"/>
                    </w:rPr>
                    <w:t>600</w:t>
                  </w:r>
                </w:p>
              </w:tc>
              <w:tc>
                <w:tcPr>
                  <w:tcW w:w="228" w:type="pct"/>
                  <w:tcBorders>
                    <w:bottom w:val="single" w:color="000000" w:sz="4" w:space="0"/>
                  </w:tcBorders>
                  <w:vAlign w:val="center"/>
                </w:tcPr>
                <w:p>
                  <w:pPr>
                    <w:widowControl/>
                    <w:jc w:val="center"/>
                    <w:textAlignment w:val="center"/>
                    <w:rPr>
                      <w:sz w:val="18"/>
                      <w:szCs w:val="18"/>
                    </w:rPr>
                  </w:pPr>
                  <w:r>
                    <w:rPr>
                      <w:color w:val="000000"/>
                      <w:kern w:val="0"/>
                      <w:sz w:val="18"/>
                      <w:szCs w:val="18"/>
                    </w:rPr>
                    <w:t>3.744</w:t>
                  </w:r>
                </w:p>
              </w:tc>
              <w:tc>
                <w:tcPr>
                  <w:tcW w:w="227" w:type="pct"/>
                  <w:vMerge w:val="restart"/>
                  <w:vAlign w:val="center"/>
                </w:tcPr>
                <w:p>
                  <w:pPr>
                    <w:jc w:val="center"/>
                    <w:rPr>
                      <w:sz w:val="18"/>
                      <w:szCs w:val="18"/>
                    </w:rPr>
                  </w:pPr>
                  <w:r>
                    <w:rPr>
                      <w:rFonts w:hint="eastAsia"/>
                      <w:sz w:val="18"/>
                      <w:szCs w:val="18"/>
                    </w:rPr>
                    <w:t>40</w:t>
                  </w:r>
                </w:p>
              </w:tc>
              <w:tc>
                <w:tcPr>
                  <w:tcW w:w="123" w:type="pct"/>
                  <w:vMerge w:val="restart"/>
                  <w:vAlign w:val="center"/>
                </w:tcPr>
                <w:p>
                  <w:pPr>
                    <w:jc w:val="center"/>
                    <w:rPr>
                      <w:sz w:val="18"/>
                      <w:szCs w:val="18"/>
                    </w:rPr>
                  </w:pPr>
                  <w:r>
                    <w:rPr>
                      <w:rFonts w:hint="eastAsia"/>
                      <w:sz w:val="18"/>
                      <w:szCs w:val="18"/>
                    </w:rPr>
                    <w:t>隔油隔渣池+化粪池</w:t>
                  </w:r>
                </w:p>
              </w:tc>
              <w:tc>
                <w:tcPr>
                  <w:tcW w:w="138" w:type="pct"/>
                  <w:vMerge w:val="restart"/>
                  <w:vAlign w:val="center"/>
                </w:tcPr>
                <w:p>
                  <w:pPr>
                    <w:jc w:val="center"/>
                    <w:rPr>
                      <w:sz w:val="18"/>
                      <w:szCs w:val="18"/>
                    </w:rPr>
                  </w:pPr>
                  <w:r>
                    <w:rPr>
                      <w:rFonts w:hint="eastAsia"/>
                      <w:sz w:val="18"/>
                      <w:szCs w:val="18"/>
                    </w:rPr>
                    <w:t>50%</w:t>
                  </w:r>
                </w:p>
              </w:tc>
              <w:tc>
                <w:tcPr>
                  <w:tcW w:w="157" w:type="pct"/>
                  <w:vMerge w:val="restart"/>
                  <w:vAlign w:val="center"/>
                </w:tcPr>
                <w:p>
                  <w:pPr>
                    <w:jc w:val="center"/>
                    <w:rPr>
                      <w:sz w:val="18"/>
                      <w:szCs w:val="18"/>
                    </w:rPr>
                  </w:pPr>
                  <w:r>
                    <w:rPr>
                      <w:rFonts w:hint="eastAsia"/>
                      <w:sz w:val="18"/>
                      <w:szCs w:val="18"/>
                    </w:rPr>
                    <w:t>是</w:t>
                  </w:r>
                </w:p>
              </w:tc>
              <w:tc>
                <w:tcPr>
                  <w:tcW w:w="233" w:type="pct"/>
                  <w:vMerge w:val="restart"/>
                  <w:vAlign w:val="center"/>
                </w:tcPr>
                <w:p>
                  <w:pPr>
                    <w:jc w:val="center"/>
                    <w:rPr>
                      <w:sz w:val="18"/>
                      <w:szCs w:val="18"/>
                    </w:rPr>
                  </w:pPr>
                  <w:r>
                    <w:rPr>
                      <w:rFonts w:hint="eastAsia"/>
                      <w:sz w:val="18"/>
                      <w:szCs w:val="18"/>
                    </w:rPr>
                    <w:t>6240</w:t>
                  </w:r>
                </w:p>
              </w:tc>
              <w:tc>
                <w:tcPr>
                  <w:tcW w:w="310" w:type="pct"/>
                  <w:tcBorders>
                    <w:bottom w:val="single" w:color="000000" w:sz="4" w:space="0"/>
                  </w:tcBorders>
                  <w:vAlign w:val="center"/>
                </w:tcPr>
                <w:p>
                  <w:pPr>
                    <w:jc w:val="center"/>
                    <w:rPr>
                      <w:sz w:val="18"/>
                      <w:szCs w:val="18"/>
                    </w:rPr>
                  </w:pPr>
                  <w:r>
                    <w:rPr>
                      <w:rFonts w:hint="eastAsia"/>
                      <w:sz w:val="18"/>
                      <w:szCs w:val="18"/>
                    </w:rPr>
                    <w:t>50</w:t>
                  </w:r>
                </w:p>
              </w:tc>
              <w:tc>
                <w:tcPr>
                  <w:tcW w:w="242" w:type="pct"/>
                  <w:tcBorders>
                    <w:bottom w:val="single" w:color="000000" w:sz="4" w:space="0"/>
                  </w:tcBorders>
                  <w:vAlign w:val="center"/>
                </w:tcPr>
                <w:p>
                  <w:pPr>
                    <w:jc w:val="center"/>
                    <w:rPr>
                      <w:sz w:val="18"/>
                      <w:szCs w:val="18"/>
                    </w:rPr>
                  </w:pPr>
                  <w:r>
                    <w:rPr>
                      <w:rFonts w:hint="eastAsia"/>
                      <w:sz w:val="18"/>
                      <w:szCs w:val="18"/>
                    </w:rPr>
                    <w:t>0.312</w:t>
                  </w:r>
                </w:p>
              </w:tc>
              <w:tc>
                <w:tcPr>
                  <w:tcW w:w="216"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75" w:type="pct"/>
                  <w:vMerge w:val="continue"/>
                  <w:vAlign w:val="center"/>
                </w:tcPr>
                <w:p>
                  <w:pPr>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jc w:val="center"/>
                    <w:rPr>
                      <w:sz w:val="18"/>
                      <w:szCs w:val="18"/>
                    </w:rPr>
                  </w:pPr>
                </w:p>
              </w:tc>
              <w:tc>
                <w:tcPr>
                  <w:tcW w:w="367" w:type="pct"/>
                  <w:vMerge w:val="continue"/>
                  <w:vAlign w:val="center"/>
                </w:tcPr>
                <w:p>
                  <w:pPr>
                    <w:jc w:val="center"/>
                    <w:rPr>
                      <w:sz w:val="18"/>
                      <w:szCs w:val="18"/>
                    </w:rPr>
                  </w:pPr>
                </w:p>
              </w:tc>
              <w:tc>
                <w:tcPr>
                  <w:tcW w:w="377" w:type="pct"/>
                  <w:vMerge w:val="restart"/>
                  <w:tcBorders>
                    <w:top w:val="single" w:color="auto" w:sz="4" w:space="0"/>
                  </w:tcBorders>
                  <w:vAlign w:val="center"/>
                </w:tcPr>
                <w:p>
                  <w:pPr>
                    <w:jc w:val="left"/>
                    <w:rPr>
                      <w:sz w:val="18"/>
                      <w:szCs w:val="18"/>
                    </w:rPr>
                  </w:pPr>
                  <w:r>
                    <w:rPr>
                      <w:sz w:val="18"/>
                      <w:szCs w:val="18"/>
                      <w:lang w:val="zh-CN"/>
                    </w:rPr>
                    <w:t>《污水综合排放标准》中三级标准</w:t>
                  </w:r>
                </w:p>
              </w:tc>
              <w:tc>
                <w:tcPr>
                  <w:tcW w:w="302" w:type="pct"/>
                  <w:tcBorders>
                    <w:top w:val="single" w:color="000000" w:sz="4" w:space="0"/>
                    <w:bottom w:val="single" w:color="000000" w:sz="4" w:space="0"/>
                  </w:tcBorders>
                  <w:vAlign w:val="center"/>
                </w:tcPr>
                <w:p>
                  <w:pPr>
                    <w:jc w:val="center"/>
                    <w:rPr>
                      <w:bCs/>
                      <w:sz w:val="18"/>
                      <w:szCs w:val="18"/>
                    </w:rPr>
                  </w:pPr>
                  <w:r>
                    <w:rPr>
                      <w:rFonts w:hint="eastAsia"/>
                      <w:bCs/>
                      <w:sz w:val="18"/>
                      <w:szCs w:val="18"/>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9" w:hRule="atLeast"/>
                <w:jc w:val="center"/>
              </w:trPr>
              <w:tc>
                <w:tcPr>
                  <w:tcW w:w="129" w:type="pct"/>
                  <w:vMerge w:val="continue"/>
                  <w:tcBorders>
                    <w:right w:val="single" w:color="000000" w:sz="6" w:space="0"/>
                  </w:tcBorders>
                  <w:vAlign w:val="center"/>
                </w:tcPr>
                <w:p>
                  <w:pPr>
                    <w:jc w:val="center"/>
                    <w:rPr>
                      <w:sz w:val="18"/>
                      <w:szCs w:val="18"/>
                    </w:rPr>
                  </w:pPr>
                </w:p>
              </w:tc>
              <w:tc>
                <w:tcPr>
                  <w:tcW w:w="96" w:type="pct"/>
                  <w:vMerge w:val="continue"/>
                  <w:tcBorders>
                    <w:left w:val="single" w:color="000000" w:sz="6" w:space="0"/>
                  </w:tcBorders>
                  <w:vAlign w:val="center"/>
                </w:tcPr>
                <w:p>
                  <w:pPr>
                    <w:jc w:val="center"/>
                    <w:rPr>
                      <w:sz w:val="18"/>
                      <w:szCs w:val="18"/>
                    </w:rPr>
                  </w:pPr>
                </w:p>
              </w:tc>
              <w:tc>
                <w:tcPr>
                  <w:tcW w:w="260" w:type="pct"/>
                  <w:tcBorders>
                    <w:top w:val="single" w:color="000000" w:sz="4" w:space="0"/>
                    <w:left w:val="single" w:color="000000" w:sz="6" w:space="0"/>
                    <w:bottom w:val="single" w:color="000000" w:sz="4" w:space="0"/>
                  </w:tcBorders>
                  <w:vAlign w:val="center"/>
                </w:tcPr>
                <w:p>
                  <w:pPr>
                    <w:jc w:val="center"/>
                    <w:rPr>
                      <w:sz w:val="18"/>
                      <w:szCs w:val="18"/>
                      <w:vertAlign w:val="subscript"/>
                    </w:rPr>
                  </w:pPr>
                  <w:r>
                    <w:rPr>
                      <w:rFonts w:hint="eastAsia"/>
                      <w:sz w:val="18"/>
                      <w:szCs w:val="18"/>
                    </w:rPr>
                    <w:t>BOD</w:t>
                  </w:r>
                  <w:r>
                    <w:rPr>
                      <w:rFonts w:hint="eastAsia"/>
                      <w:sz w:val="18"/>
                      <w:szCs w:val="18"/>
                      <w:vertAlign w:val="subscript"/>
                    </w:rPr>
                    <w:t>5</w:t>
                  </w:r>
                </w:p>
              </w:tc>
              <w:tc>
                <w:tcPr>
                  <w:tcW w:w="301" w:type="pct"/>
                  <w:tcBorders>
                    <w:top w:val="single" w:color="000000" w:sz="4" w:space="0"/>
                    <w:bottom w:val="single" w:color="000000" w:sz="4" w:space="0"/>
                  </w:tcBorders>
                  <w:vAlign w:val="center"/>
                </w:tcPr>
                <w:p>
                  <w:pPr>
                    <w:jc w:val="center"/>
                    <w:rPr>
                      <w:sz w:val="18"/>
                      <w:szCs w:val="18"/>
                    </w:rPr>
                  </w:pPr>
                  <w:r>
                    <w:rPr>
                      <w:sz w:val="18"/>
                      <w:szCs w:val="18"/>
                    </w:rPr>
                    <w:t>330</w:t>
                  </w:r>
                </w:p>
              </w:tc>
              <w:tc>
                <w:tcPr>
                  <w:tcW w:w="228" w:type="pct"/>
                  <w:tcBorders>
                    <w:top w:val="single" w:color="000000" w:sz="4" w:space="0"/>
                    <w:bottom w:val="single" w:color="000000" w:sz="4" w:space="0"/>
                  </w:tcBorders>
                  <w:vAlign w:val="center"/>
                </w:tcPr>
                <w:p>
                  <w:pPr>
                    <w:widowControl/>
                    <w:jc w:val="center"/>
                    <w:textAlignment w:val="center"/>
                    <w:rPr>
                      <w:sz w:val="18"/>
                      <w:szCs w:val="18"/>
                    </w:rPr>
                  </w:pPr>
                  <w:r>
                    <w:rPr>
                      <w:color w:val="000000"/>
                      <w:kern w:val="0"/>
                      <w:sz w:val="18"/>
                      <w:szCs w:val="18"/>
                    </w:rPr>
                    <w:t>2.0592</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vMerge w:val="continue"/>
                  <w:vAlign w:val="center"/>
                </w:tcPr>
                <w:p>
                  <w:pPr>
                    <w:jc w:val="center"/>
                    <w:rPr>
                      <w:sz w:val="18"/>
                      <w:szCs w:val="18"/>
                    </w:rPr>
                  </w:pPr>
                </w:p>
              </w:tc>
              <w:tc>
                <w:tcPr>
                  <w:tcW w:w="157" w:type="pct"/>
                  <w:vMerge w:val="continue"/>
                  <w:vAlign w:val="center"/>
                </w:tcPr>
                <w:p>
                  <w:pPr>
                    <w:jc w:val="center"/>
                    <w:rPr>
                      <w:sz w:val="18"/>
                      <w:szCs w:val="18"/>
                    </w:rPr>
                  </w:pPr>
                </w:p>
              </w:tc>
              <w:tc>
                <w:tcPr>
                  <w:tcW w:w="233" w:type="pct"/>
                  <w:vMerge w:val="continue"/>
                  <w:vAlign w:val="center"/>
                </w:tcPr>
                <w:p>
                  <w:pPr>
                    <w:jc w:val="center"/>
                    <w:rPr>
                      <w:sz w:val="18"/>
                      <w:szCs w:val="18"/>
                    </w:rPr>
                  </w:pPr>
                </w:p>
              </w:tc>
              <w:tc>
                <w:tcPr>
                  <w:tcW w:w="310" w:type="pct"/>
                  <w:tcBorders>
                    <w:top w:val="single" w:color="000000" w:sz="4" w:space="0"/>
                    <w:bottom w:val="single" w:color="000000" w:sz="4" w:space="0"/>
                  </w:tcBorders>
                  <w:vAlign w:val="center"/>
                </w:tcPr>
                <w:p>
                  <w:pPr>
                    <w:jc w:val="center"/>
                    <w:rPr>
                      <w:sz w:val="18"/>
                      <w:szCs w:val="18"/>
                    </w:rPr>
                  </w:pPr>
                  <w:r>
                    <w:rPr>
                      <w:rFonts w:hint="eastAsia"/>
                      <w:sz w:val="18"/>
                      <w:szCs w:val="18"/>
                    </w:rPr>
                    <w:t>10</w:t>
                  </w:r>
                </w:p>
              </w:tc>
              <w:tc>
                <w:tcPr>
                  <w:tcW w:w="242" w:type="pct"/>
                  <w:tcBorders>
                    <w:top w:val="single" w:color="000000" w:sz="4" w:space="0"/>
                    <w:bottom w:val="single" w:color="000000" w:sz="4" w:space="0"/>
                  </w:tcBorders>
                  <w:vAlign w:val="center"/>
                </w:tcPr>
                <w:p>
                  <w:pPr>
                    <w:jc w:val="center"/>
                    <w:rPr>
                      <w:sz w:val="18"/>
                      <w:szCs w:val="18"/>
                    </w:rPr>
                  </w:pPr>
                  <w:r>
                    <w:rPr>
                      <w:rFonts w:hint="eastAsia"/>
                      <w:sz w:val="18"/>
                      <w:szCs w:val="18"/>
                    </w:rPr>
                    <w:t>0.0624</w:t>
                  </w:r>
                </w:p>
              </w:tc>
              <w:tc>
                <w:tcPr>
                  <w:tcW w:w="216"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75" w:type="pct"/>
                  <w:vMerge w:val="continue"/>
                  <w:vAlign w:val="center"/>
                </w:tcPr>
                <w:p>
                  <w:pPr>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jc w:val="center"/>
                    <w:rPr>
                      <w:sz w:val="18"/>
                      <w:szCs w:val="18"/>
                    </w:rPr>
                  </w:pPr>
                </w:p>
              </w:tc>
              <w:tc>
                <w:tcPr>
                  <w:tcW w:w="367" w:type="pct"/>
                  <w:vMerge w:val="continue"/>
                  <w:vAlign w:val="center"/>
                </w:tcPr>
                <w:p>
                  <w:pPr>
                    <w:jc w:val="center"/>
                    <w:rPr>
                      <w:sz w:val="18"/>
                      <w:szCs w:val="18"/>
                    </w:rPr>
                  </w:pPr>
                </w:p>
              </w:tc>
              <w:tc>
                <w:tcPr>
                  <w:tcW w:w="377" w:type="pct"/>
                  <w:vMerge w:val="continue"/>
                  <w:vAlign w:val="center"/>
                </w:tcPr>
                <w:p>
                  <w:pPr>
                    <w:jc w:val="left"/>
                    <w:rPr>
                      <w:sz w:val="18"/>
                      <w:szCs w:val="18"/>
                    </w:rPr>
                  </w:pPr>
                </w:p>
              </w:tc>
              <w:tc>
                <w:tcPr>
                  <w:tcW w:w="302" w:type="pct"/>
                  <w:tcBorders>
                    <w:top w:val="single" w:color="000000" w:sz="4" w:space="0"/>
                    <w:bottom w:val="single" w:color="000000" w:sz="4" w:space="0"/>
                  </w:tcBorders>
                  <w:vAlign w:val="center"/>
                </w:tcPr>
                <w:p>
                  <w:pPr>
                    <w:jc w:val="center"/>
                    <w:rPr>
                      <w:bCs/>
                      <w:sz w:val="18"/>
                      <w:szCs w:val="18"/>
                    </w:rPr>
                  </w:pPr>
                  <w:r>
                    <w:rPr>
                      <w:rFonts w:hint="eastAsia"/>
                      <w:bCs/>
                      <w:sz w:val="18"/>
                      <w:szCs w:val="18"/>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8" w:hRule="atLeast"/>
                <w:jc w:val="center"/>
              </w:trPr>
              <w:tc>
                <w:tcPr>
                  <w:tcW w:w="129" w:type="pct"/>
                  <w:vMerge w:val="continue"/>
                  <w:tcBorders>
                    <w:right w:val="single" w:color="000000" w:sz="6" w:space="0"/>
                  </w:tcBorders>
                  <w:vAlign w:val="center"/>
                </w:tcPr>
                <w:p>
                  <w:pPr>
                    <w:jc w:val="center"/>
                    <w:rPr>
                      <w:sz w:val="18"/>
                      <w:szCs w:val="18"/>
                    </w:rPr>
                  </w:pPr>
                </w:p>
              </w:tc>
              <w:tc>
                <w:tcPr>
                  <w:tcW w:w="96" w:type="pct"/>
                  <w:vMerge w:val="continue"/>
                  <w:tcBorders>
                    <w:left w:val="single" w:color="000000" w:sz="6" w:space="0"/>
                  </w:tcBorders>
                  <w:vAlign w:val="center"/>
                </w:tcPr>
                <w:p>
                  <w:pPr>
                    <w:jc w:val="center"/>
                    <w:rPr>
                      <w:sz w:val="18"/>
                      <w:szCs w:val="18"/>
                    </w:rPr>
                  </w:pPr>
                </w:p>
              </w:tc>
              <w:tc>
                <w:tcPr>
                  <w:tcW w:w="260" w:type="pct"/>
                  <w:tcBorders>
                    <w:top w:val="single" w:color="000000" w:sz="4" w:space="0"/>
                    <w:left w:val="single" w:color="000000" w:sz="6" w:space="0"/>
                    <w:bottom w:val="single" w:color="000000" w:sz="4" w:space="0"/>
                  </w:tcBorders>
                  <w:vAlign w:val="center"/>
                </w:tcPr>
                <w:p>
                  <w:pPr>
                    <w:jc w:val="center"/>
                    <w:rPr>
                      <w:sz w:val="18"/>
                      <w:szCs w:val="18"/>
                    </w:rPr>
                  </w:pPr>
                  <w:r>
                    <w:rPr>
                      <w:rFonts w:hint="eastAsia"/>
                      <w:sz w:val="18"/>
                      <w:szCs w:val="18"/>
                    </w:rPr>
                    <w:t>动植物油</w:t>
                  </w:r>
                </w:p>
              </w:tc>
              <w:tc>
                <w:tcPr>
                  <w:tcW w:w="301" w:type="pct"/>
                  <w:tcBorders>
                    <w:top w:val="single" w:color="000000" w:sz="4" w:space="0"/>
                    <w:bottom w:val="single" w:color="000000" w:sz="4" w:space="0"/>
                  </w:tcBorders>
                  <w:vAlign w:val="center"/>
                </w:tcPr>
                <w:p>
                  <w:pPr>
                    <w:jc w:val="center"/>
                    <w:rPr>
                      <w:sz w:val="18"/>
                      <w:szCs w:val="18"/>
                    </w:rPr>
                  </w:pPr>
                  <w:r>
                    <w:rPr>
                      <w:rFonts w:hint="eastAsia"/>
                      <w:sz w:val="18"/>
                      <w:szCs w:val="18"/>
                    </w:rPr>
                    <w:t>100</w:t>
                  </w:r>
                </w:p>
              </w:tc>
              <w:tc>
                <w:tcPr>
                  <w:tcW w:w="228" w:type="pct"/>
                  <w:tcBorders>
                    <w:top w:val="single" w:color="000000" w:sz="4" w:space="0"/>
                    <w:bottom w:val="single" w:color="000000" w:sz="4" w:space="0"/>
                  </w:tcBorders>
                  <w:vAlign w:val="center"/>
                </w:tcPr>
                <w:p>
                  <w:pPr>
                    <w:widowControl/>
                    <w:jc w:val="center"/>
                    <w:textAlignment w:val="center"/>
                    <w:rPr>
                      <w:sz w:val="18"/>
                      <w:szCs w:val="18"/>
                    </w:rPr>
                  </w:pPr>
                  <w:r>
                    <w:rPr>
                      <w:rFonts w:hint="eastAsia"/>
                      <w:color w:val="000000"/>
                      <w:kern w:val="0"/>
                      <w:sz w:val="18"/>
                      <w:szCs w:val="18"/>
                    </w:rPr>
                    <w:t>0.624</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vMerge w:val="continue"/>
                  <w:tcBorders>
                    <w:bottom w:val="single" w:color="auto" w:sz="4" w:space="0"/>
                  </w:tcBorders>
                  <w:vAlign w:val="center"/>
                </w:tcPr>
                <w:p>
                  <w:pPr>
                    <w:jc w:val="center"/>
                    <w:rPr>
                      <w:sz w:val="18"/>
                      <w:szCs w:val="18"/>
                    </w:rPr>
                  </w:pPr>
                </w:p>
              </w:tc>
              <w:tc>
                <w:tcPr>
                  <w:tcW w:w="157" w:type="pct"/>
                  <w:vMerge w:val="continue"/>
                  <w:vAlign w:val="center"/>
                </w:tcPr>
                <w:p>
                  <w:pPr>
                    <w:jc w:val="center"/>
                    <w:rPr>
                      <w:sz w:val="18"/>
                      <w:szCs w:val="18"/>
                    </w:rPr>
                  </w:pPr>
                </w:p>
              </w:tc>
              <w:tc>
                <w:tcPr>
                  <w:tcW w:w="233" w:type="pct"/>
                  <w:vMerge w:val="continue"/>
                  <w:vAlign w:val="center"/>
                </w:tcPr>
                <w:p>
                  <w:pPr>
                    <w:jc w:val="center"/>
                    <w:rPr>
                      <w:sz w:val="18"/>
                      <w:szCs w:val="18"/>
                    </w:rPr>
                  </w:pPr>
                </w:p>
              </w:tc>
              <w:tc>
                <w:tcPr>
                  <w:tcW w:w="310" w:type="pct"/>
                  <w:tcBorders>
                    <w:top w:val="single" w:color="000000" w:sz="4" w:space="0"/>
                    <w:bottom w:val="single" w:color="000000" w:sz="4" w:space="0"/>
                  </w:tcBorders>
                  <w:vAlign w:val="center"/>
                </w:tcPr>
                <w:p>
                  <w:pPr>
                    <w:jc w:val="center"/>
                    <w:rPr>
                      <w:sz w:val="18"/>
                      <w:szCs w:val="18"/>
                    </w:rPr>
                  </w:pPr>
                  <w:r>
                    <w:rPr>
                      <w:rFonts w:hint="eastAsia"/>
                      <w:sz w:val="18"/>
                      <w:szCs w:val="18"/>
                    </w:rPr>
                    <w:t>1</w:t>
                  </w:r>
                </w:p>
              </w:tc>
              <w:tc>
                <w:tcPr>
                  <w:tcW w:w="242" w:type="pct"/>
                  <w:tcBorders>
                    <w:top w:val="single" w:color="000000" w:sz="4" w:space="0"/>
                    <w:bottom w:val="single" w:color="000000" w:sz="4" w:space="0"/>
                  </w:tcBorders>
                  <w:vAlign w:val="center"/>
                </w:tcPr>
                <w:p>
                  <w:pPr>
                    <w:jc w:val="center"/>
                    <w:rPr>
                      <w:sz w:val="18"/>
                      <w:szCs w:val="18"/>
                    </w:rPr>
                  </w:pPr>
                  <w:r>
                    <w:rPr>
                      <w:rFonts w:hint="eastAsia"/>
                      <w:sz w:val="18"/>
                      <w:szCs w:val="18"/>
                    </w:rPr>
                    <w:t>0.00624</w:t>
                  </w:r>
                </w:p>
              </w:tc>
              <w:tc>
                <w:tcPr>
                  <w:tcW w:w="216"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75" w:type="pct"/>
                  <w:vMerge w:val="continue"/>
                  <w:vAlign w:val="center"/>
                </w:tcPr>
                <w:p>
                  <w:pPr>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jc w:val="center"/>
                    <w:rPr>
                      <w:sz w:val="18"/>
                      <w:szCs w:val="18"/>
                    </w:rPr>
                  </w:pPr>
                </w:p>
              </w:tc>
              <w:tc>
                <w:tcPr>
                  <w:tcW w:w="367" w:type="pct"/>
                  <w:vMerge w:val="continue"/>
                  <w:vAlign w:val="center"/>
                </w:tcPr>
                <w:p>
                  <w:pPr>
                    <w:jc w:val="center"/>
                    <w:rPr>
                      <w:sz w:val="18"/>
                      <w:szCs w:val="18"/>
                    </w:rPr>
                  </w:pPr>
                </w:p>
              </w:tc>
              <w:tc>
                <w:tcPr>
                  <w:tcW w:w="377" w:type="pct"/>
                  <w:vMerge w:val="continue"/>
                  <w:tcBorders>
                    <w:bottom w:val="single" w:color="auto" w:sz="4" w:space="0"/>
                  </w:tcBorders>
                  <w:vAlign w:val="center"/>
                </w:tcPr>
                <w:p>
                  <w:pPr>
                    <w:jc w:val="left"/>
                    <w:rPr>
                      <w:b/>
                      <w:bCs/>
                      <w:sz w:val="18"/>
                      <w:szCs w:val="18"/>
                    </w:rPr>
                  </w:pPr>
                </w:p>
              </w:tc>
              <w:tc>
                <w:tcPr>
                  <w:tcW w:w="302" w:type="pct"/>
                  <w:tcBorders>
                    <w:top w:val="single" w:color="000000" w:sz="4" w:space="0"/>
                    <w:bottom w:val="single" w:color="000000" w:sz="4" w:space="0"/>
                  </w:tcBorders>
                  <w:vAlign w:val="center"/>
                </w:tcPr>
                <w:p>
                  <w:pPr>
                    <w:jc w:val="center"/>
                    <w:rPr>
                      <w:bCs/>
                      <w:sz w:val="18"/>
                      <w:szCs w:val="18"/>
                    </w:rPr>
                  </w:pPr>
                  <w:r>
                    <w:rPr>
                      <w:rFonts w:hint="eastAsia"/>
                      <w:bCs/>
                      <w:sz w:val="18"/>
                      <w:szCs w:val="18"/>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129" w:type="pct"/>
                  <w:vMerge w:val="continue"/>
                  <w:tcBorders>
                    <w:right w:val="single" w:color="000000" w:sz="6" w:space="0"/>
                  </w:tcBorders>
                  <w:vAlign w:val="center"/>
                </w:tcPr>
                <w:p>
                  <w:pPr>
                    <w:jc w:val="center"/>
                    <w:rPr>
                      <w:sz w:val="18"/>
                      <w:szCs w:val="18"/>
                    </w:rPr>
                  </w:pPr>
                </w:p>
              </w:tc>
              <w:tc>
                <w:tcPr>
                  <w:tcW w:w="96" w:type="pct"/>
                  <w:vMerge w:val="continue"/>
                  <w:tcBorders>
                    <w:left w:val="single" w:color="000000" w:sz="6" w:space="0"/>
                  </w:tcBorders>
                  <w:vAlign w:val="center"/>
                </w:tcPr>
                <w:p>
                  <w:pPr>
                    <w:jc w:val="center"/>
                    <w:rPr>
                      <w:sz w:val="18"/>
                      <w:szCs w:val="18"/>
                    </w:rPr>
                  </w:pPr>
                </w:p>
              </w:tc>
              <w:tc>
                <w:tcPr>
                  <w:tcW w:w="260" w:type="pct"/>
                  <w:tcBorders>
                    <w:top w:val="single" w:color="000000" w:sz="4" w:space="0"/>
                    <w:left w:val="single" w:color="000000" w:sz="6" w:space="0"/>
                  </w:tcBorders>
                  <w:vAlign w:val="center"/>
                </w:tcPr>
                <w:p>
                  <w:pPr>
                    <w:jc w:val="center"/>
                    <w:rPr>
                      <w:sz w:val="18"/>
                      <w:szCs w:val="18"/>
                    </w:rPr>
                  </w:pPr>
                  <w:r>
                    <w:rPr>
                      <w:sz w:val="18"/>
                      <w:szCs w:val="18"/>
                    </w:rPr>
                    <w:t>NH</w:t>
                  </w:r>
                  <w:r>
                    <w:rPr>
                      <w:sz w:val="18"/>
                      <w:szCs w:val="18"/>
                      <w:vertAlign w:val="subscript"/>
                    </w:rPr>
                    <w:t>3</w:t>
                  </w:r>
                  <w:r>
                    <w:rPr>
                      <w:sz w:val="18"/>
                      <w:szCs w:val="18"/>
                    </w:rPr>
                    <w:t>-N</w:t>
                  </w:r>
                </w:p>
              </w:tc>
              <w:tc>
                <w:tcPr>
                  <w:tcW w:w="301" w:type="pct"/>
                  <w:tcBorders>
                    <w:top w:val="single" w:color="000000" w:sz="4" w:space="0"/>
                  </w:tcBorders>
                  <w:vAlign w:val="center"/>
                </w:tcPr>
                <w:p>
                  <w:pPr>
                    <w:jc w:val="center"/>
                    <w:rPr>
                      <w:sz w:val="18"/>
                      <w:szCs w:val="18"/>
                    </w:rPr>
                  </w:pPr>
                  <w:r>
                    <w:rPr>
                      <w:rFonts w:hint="eastAsia"/>
                      <w:sz w:val="18"/>
                      <w:szCs w:val="18"/>
                    </w:rPr>
                    <w:t>40</w:t>
                  </w:r>
                </w:p>
              </w:tc>
              <w:tc>
                <w:tcPr>
                  <w:tcW w:w="228" w:type="pct"/>
                  <w:tcBorders>
                    <w:top w:val="single" w:color="000000" w:sz="4" w:space="0"/>
                  </w:tcBorders>
                  <w:vAlign w:val="center"/>
                </w:tcPr>
                <w:p>
                  <w:pPr>
                    <w:widowControl/>
                    <w:jc w:val="center"/>
                    <w:textAlignment w:val="center"/>
                    <w:rPr>
                      <w:sz w:val="18"/>
                      <w:szCs w:val="18"/>
                    </w:rPr>
                  </w:pPr>
                  <w:r>
                    <w:rPr>
                      <w:color w:val="000000"/>
                      <w:kern w:val="0"/>
                      <w:sz w:val="18"/>
                      <w:szCs w:val="18"/>
                    </w:rPr>
                    <w:t>0.2496</w:t>
                  </w:r>
                </w:p>
              </w:tc>
              <w:tc>
                <w:tcPr>
                  <w:tcW w:w="227" w:type="pct"/>
                  <w:vMerge w:val="continue"/>
                  <w:vAlign w:val="center"/>
                </w:tcPr>
                <w:p>
                  <w:pPr>
                    <w:jc w:val="center"/>
                    <w:rPr>
                      <w:sz w:val="18"/>
                      <w:szCs w:val="18"/>
                    </w:rPr>
                  </w:pPr>
                </w:p>
              </w:tc>
              <w:tc>
                <w:tcPr>
                  <w:tcW w:w="123" w:type="pct"/>
                  <w:vMerge w:val="continue"/>
                  <w:vAlign w:val="center"/>
                </w:tcPr>
                <w:p>
                  <w:pPr>
                    <w:jc w:val="center"/>
                    <w:rPr>
                      <w:sz w:val="18"/>
                      <w:szCs w:val="18"/>
                    </w:rPr>
                  </w:pPr>
                </w:p>
              </w:tc>
              <w:tc>
                <w:tcPr>
                  <w:tcW w:w="138" w:type="pct"/>
                  <w:tcBorders>
                    <w:top w:val="single" w:color="auto" w:sz="4" w:space="0"/>
                  </w:tcBorders>
                  <w:vAlign w:val="center"/>
                </w:tcPr>
                <w:p>
                  <w:pPr>
                    <w:jc w:val="center"/>
                    <w:rPr>
                      <w:sz w:val="18"/>
                      <w:szCs w:val="18"/>
                    </w:rPr>
                  </w:pPr>
                  <w:r>
                    <w:rPr>
                      <w:rFonts w:hint="eastAsia"/>
                      <w:sz w:val="18"/>
                      <w:szCs w:val="18"/>
                    </w:rPr>
                    <w:t>/</w:t>
                  </w:r>
                </w:p>
              </w:tc>
              <w:tc>
                <w:tcPr>
                  <w:tcW w:w="157" w:type="pct"/>
                  <w:vMerge w:val="continue"/>
                  <w:vAlign w:val="center"/>
                </w:tcPr>
                <w:p>
                  <w:pPr>
                    <w:jc w:val="center"/>
                    <w:rPr>
                      <w:sz w:val="18"/>
                      <w:szCs w:val="18"/>
                    </w:rPr>
                  </w:pPr>
                </w:p>
              </w:tc>
              <w:tc>
                <w:tcPr>
                  <w:tcW w:w="233" w:type="pct"/>
                  <w:vMerge w:val="continue"/>
                  <w:vAlign w:val="center"/>
                </w:tcPr>
                <w:p>
                  <w:pPr>
                    <w:jc w:val="center"/>
                    <w:rPr>
                      <w:sz w:val="18"/>
                      <w:szCs w:val="18"/>
                    </w:rPr>
                  </w:pPr>
                </w:p>
              </w:tc>
              <w:tc>
                <w:tcPr>
                  <w:tcW w:w="310" w:type="pct"/>
                  <w:tcBorders>
                    <w:top w:val="single" w:color="000000" w:sz="4" w:space="0"/>
                    <w:bottom w:val="single" w:color="000000" w:sz="4" w:space="0"/>
                  </w:tcBorders>
                  <w:vAlign w:val="center"/>
                </w:tcPr>
                <w:p>
                  <w:pPr>
                    <w:jc w:val="center"/>
                    <w:rPr>
                      <w:sz w:val="18"/>
                      <w:szCs w:val="18"/>
                    </w:rPr>
                  </w:pPr>
                  <w:r>
                    <w:rPr>
                      <w:rFonts w:hint="eastAsia"/>
                      <w:sz w:val="18"/>
                      <w:szCs w:val="18"/>
                    </w:rPr>
                    <w:t>5</w:t>
                  </w:r>
                </w:p>
              </w:tc>
              <w:tc>
                <w:tcPr>
                  <w:tcW w:w="242" w:type="pct"/>
                  <w:tcBorders>
                    <w:top w:val="single" w:color="000000" w:sz="4" w:space="0"/>
                    <w:bottom w:val="single" w:color="000000" w:sz="4" w:space="0"/>
                  </w:tcBorders>
                  <w:vAlign w:val="center"/>
                </w:tcPr>
                <w:p>
                  <w:pPr>
                    <w:jc w:val="center"/>
                    <w:rPr>
                      <w:sz w:val="18"/>
                      <w:szCs w:val="18"/>
                    </w:rPr>
                  </w:pPr>
                  <w:r>
                    <w:rPr>
                      <w:rFonts w:hint="eastAsia"/>
                      <w:sz w:val="18"/>
                      <w:szCs w:val="18"/>
                    </w:rPr>
                    <w:t>0.0312</w:t>
                  </w:r>
                </w:p>
              </w:tc>
              <w:tc>
                <w:tcPr>
                  <w:tcW w:w="216" w:type="pct"/>
                  <w:vMerge w:val="continue"/>
                  <w:vAlign w:val="center"/>
                </w:tcPr>
                <w:p>
                  <w:pPr>
                    <w:jc w:val="center"/>
                    <w:rPr>
                      <w:sz w:val="18"/>
                      <w:szCs w:val="18"/>
                    </w:rPr>
                  </w:pPr>
                </w:p>
              </w:tc>
              <w:tc>
                <w:tcPr>
                  <w:tcW w:w="228" w:type="pct"/>
                  <w:vMerge w:val="continue"/>
                  <w:vAlign w:val="center"/>
                </w:tcPr>
                <w:p>
                  <w:pPr>
                    <w:jc w:val="center"/>
                    <w:rPr>
                      <w:sz w:val="18"/>
                      <w:szCs w:val="18"/>
                    </w:rPr>
                  </w:pPr>
                </w:p>
              </w:tc>
              <w:tc>
                <w:tcPr>
                  <w:tcW w:w="275" w:type="pct"/>
                  <w:vMerge w:val="continue"/>
                  <w:vAlign w:val="center"/>
                </w:tcPr>
                <w:p>
                  <w:pPr>
                    <w:jc w:val="center"/>
                    <w:rPr>
                      <w:sz w:val="18"/>
                      <w:szCs w:val="18"/>
                    </w:rPr>
                  </w:pPr>
                </w:p>
              </w:tc>
              <w:tc>
                <w:tcPr>
                  <w:tcW w:w="293" w:type="pct"/>
                  <w:vMerge w:val="continue"/>
                  <w:vAlign w:val="center"/>
                </w:tcPr>
                <w:p>
                  <w:pPr>
                    <w:jc w:val="center"/>
                    <w:rPr>
                      <w:sz w:val="18"/>
                      <w:szCs w:val="18"/>
                    </w:rPr>
                  </w:pPr>
                </w:p>
              </w:tc>
              <w:tc>
                <w:tcPr>
                  <w:tcW w:w="184" w:type="pct"/>
                  <w:vMerge w:val="continue"/>
                  <w:vAlign w:val="center"/>
                </w:tcPr>
                <w:p>
                  <w:pPr>
                    <w:jc w:val="center"/>
                    <w:rPr>
                      <w:sz w:val="18"/>
                      <w:szCs w:val="18"/>
                    </w:rPr>
                  </w:pPr>
                </w:p>
              </w:tc>
              <w:tc>
                <w:tcPr>
                  <w:tcW w:w="307" w:type="pct"/>
                  <w:vMerge w:val="continue"/>
                  <w:vAlign w:val="center"/>
                </w:tcPr>
                <w:p>
                  <w:pPr>
                    <w:jc w:val="center"/>
                    <w:rPr>
                      <w:sz w:val="18"/>
                      <w:szCs w:val="18"/>
                    </w:rPr>
                  </w:pPr>
                </w:p>
              </w:tc>
              <w:tc>
                <w:tcPr>
                  <w:tcW w:w="367" w:type="pct"/>
                  <w:vMerge w:val="continue"/>
                  <w:vAlign w:val="center"/>
                </w:tcPr>
                <w:p>
                  <w:pPr>
                    <w:jc w:val="center"/>
                    <w:rPr>
                      <w:sz w:val="18"/>
                      <w:szCs w:val="18"/>
                    </w:rPr>
                  </w:pPr>
                </w:p>
              </w:tc>
              <w:tc>
                <w:tcPr>
                  <w:tcW w:w="377" w:type="pct"/>
                  <w:tcBorders>
                    <w:top w:val="single" w:color="auto" w:sz="4" w:space="0"/>
                  </w:tcBorders>
                  <w:vAlign w:val="center"/>
                </w:tcPr>
                <w:p>
                  <w:pPr>
                    <w:jc w:val="left"/>
                    <w:rPr>
                      <w:sz w:val="18"/>
                      <w:szCs w:val="18"/>
                    </w:rPr>
                  </w:pPr>
                  <w:r>
                    <w:rPr>
                      <w:sz w:val="18"/>
                      <w:szCs w:val="18"/>
                      <w:lang w:val="zh-CN"/>
                    </w:rPr>
                    <w:t>《污水排入城镇下水道水质标准》</w:t>
                  </w:r>
                  <w:r>
                    <w:rPr>
                      <w:rFonts w:hint="eastAsia"/>
                      <w:sz w:val="18"/>
                      <w:szCs w:val="18"/>
                    </w:rPr>
                    <w:t>B级限值</w:t>
                  </w:r>
                </w:p>
              </w:tc>
              <w:tc>
                <w:tcPr>
                  <w:tcW w:w="302" w:type="pct"/>
                  <w:tcBorders>
                    <w:top w:val="single" w:color="000000" w:sz="4" w:space="0"/>
                    <w:bottom w:val="single" w:color="000000" w:sz="4" w:space="0"/>
                  </w:tcBorders>
                  <w:vAlign w:val="center"/>
                </w:tcPr>
                <w:p>
                  <w:pPr>
                    <w:jc w:val="center"/>
                    <w:rPr>
                      <w:bCs/>
                      <w:sz w:val="18"/>
                      <w:szCs w:val="18"/>
                    </w:rPr>
                  </w:pPr>
                  <w:r>
                    <w:rPr>
                      <w:rFonts w:hint="eastAsia"/>
                      <w:bCs/>
                      <w:sz w:val="18"/>
                      <w:szCs w:val="18"/>
                    </w:rPr>
                    <w:t>45</w:t>
                  </w:r>
                </w:p>
              </w:tc>
            </w:tr>
          </w:tbl>
          <w:p>
            <w:pPr>
              <w:spacing w:line="480" w:lineRule="exact"/>
              <w:rPr>
                <w:sz w:val="24"/>
              </w:rPr>
            </w:pPr>
          </w:p>
        </w:tc>
      </w:tr>
    </w:tbl>
    <w:p>
      <w:pPr>
        <w:pStyle w:val="19"/>
        <w:jc w:val="both"/>
        <w:outlineLvl w:val="0"/>
        <w:rPr>
          <w:rFonts w:ascii="黑体" w:hAnsi="黑体" w:eastAsia="黑体"/>
          <w:snapToGrid w:val="0"/>
          <w:sz w:val="30"/>
          <w:szCs w:val="30"/>
        </w:rPr>
        <w:sectPr>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tcPr>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p>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pStyle w:val="2"/>
              <w:tabs>
                <w:tab w:val="right" w:pos="8844"/>
              </w:tabs>
              <w:spacing w:line="240" w:lineRule="auto"/>
              <w:ind w:firstLine="0" w:firstLineChars="0"/>
              <w:jc w:val="center"/>
              <w:rPr>
                <w:lang w:val="zh-CN" w:eastAsia="zh-CN"/>
              </w:rPr>
            </w:pPr>
            <w:r>
              <w:rPr>
                <w:rFonts w:hint="eastAsia"/>
                <w:bCs/>
                <w:szCs w:val="24"/>
                <w:lang w:val="en-US" w:eastAsia="zh-CN"/>
              </w:rPr>
              <w:t>措</w:t>
            </w:r>
            <w:r>
              <w:rPr>
                <w:bCs/>
                <w:szCs w:val="24"/>
                <w:lang w:val="en-US" w:eastAsia="zh-CN"/>
              </w:rPr>
              <w:t>施</w:t>
            </w:r>
          </w:p>
        </w:tc>
        <w:tc>
          <w:tcPr>
            <w:tcW w:w="8552" w:type="dxa"/>
          </w:tcPr>
          <w:p>
            <w:pPr>
              <w:spacing w:line="360" w:lineRule="auto"/>
              <w:ind w:left="420" w:leftChars="200"/>
              <w:rPr>
                <w:sz w:val="24"/>
                <w:lang w:val="en-CA"/>
              </w:rPr>
            </w:pPr>
            <w:r>
              <w:rPr>
                <w:sz w:val="24"/>
                <w:lang w:val="zh-CN"/>
              </w:rPr>
              <w:t>（</w:t>
            </w:r>
            <w:r>
              <w:rPr>
                <w:rFonts w:hint="eastAsia"/>
                <w:sz w:val="24"/>
              </w:rPr>
              <w:t>2</w:t>
            </w:r>
            <w:r>
              <w:rPr>
                <w:sz w:val="24"/>
                <w:lang w:val="zh-CN"/>
              </w:rPr>
              <w:t>）</w:t>
            </w:r>
            <w:r>
              <w:rPr>
                <w:sz w:val="24"/>
                <w:lang w:val="en-CA"/>
              </w:rPr>
              <w:t>废水处理达标可行性分析</w:t>
            </w:r>
          </w:p>
          <w:p>
            <w:pPr>
              <w:spacing w:line="360" w:lineRule="auto"/>
              <w:ind w:left="420" w:leftChars="200"/>
              <w:rPr>
                <w:color w:val="auto"/>
                <w:sz w:val="24"/>
                <w:lang w:val="en-CA"/>
              </w:rPr>
            </w:pPr>
            <w:r>
              <w:rPr>
                <w:rFonts w:hint="eastAsia"/>
                <w:sz w:val="24"/>
                <w:lang w:val="en-CA"/>
              </w:rPr>
              <w:t>①</w:t>
            </w:r>
            <w:r>
              <w:rPr>
                <w:sz w:val="24"/>
                <w:lang w:val="en-CA"/>
              </w:rPr>
              <w:t>水污染控</w:t>
            </w:r>
            <w:r>
              <w:rPr>
                <w:color w:val="auto"/>
                <w:sz w:val="24"/>
                <w:lang w:val="en-CA"/>
              </w:rPr>
              <w:t>制和水环境影响减缓措施有效性评价</w:t>
            </w:r>
          </w:p>
          <w:p>
            <w:pPr>
              <w:widowControl/>
              <w:spacing w:line="360" w:lineRule="auto"/>
              <w:ind w:firstLine="480" w:firstLineChars="200"/>
              <w:jc w:val="left"/>
              <w:rPr>
                <w:sz w:val="24"/>
                <w:lang w:val="en-CA"/>
              </w:rPr>
            </w:pPr>
            <w:r>
              <w:rPr>
                <w:rFonts w:hint="eastAsia"/>
                <w:color w:val="auto"/>
                <w:sz w:val="24"/>
              </w:rPr>
              <w:t>本项目实验室主要</w:t>
            </w:r>
            <w:r>
              <w:rPr>
                <w:rFonts w:hint="eastAsia"/>
                <w:color w:val="auto"/>
                <w:sz w:val="24"/>
                <w:lang w:val="en-US" w:eastAsia="zh-CN"/>
              </w:rPr>
              <w:t>涉及</w:t>
            </w:r>
            <w:r>
              <w:rPr>
                <w:rFonts w:hint="eastAsia"/>
                <w:color w:val="auto"/>
                <w:sz w:val="24"/>
              </w:rPr>
              <w:t>盐酸和石灰水制取二氧化碳的实验、过氧化氢制取氧气的实验、利用盐酸和氢氧化钠探究酸碱中和反应的实验、盐酸的化学性质探究实验、氢氧化钠的化学性质探究实验、</w:t>
            </w:r>
            <w:r>
              <w:rPr>
                <w:rStyle w:val="24"/>
                <w:rFonts w:hint="eastAsia" w:ascii="宋体" w:hAnsi="宋体" w:cs="宋体"/>
                <w:b w:val="0"/>
                <w:bCs/>
                <w:color w:val="auto"/>
                <w:spacing w:val="8"/>
                <w:sz w:val="24"/>
              </w:rPr>
              <w:t>一定溶质质量分数的氯化钠溶液的配置。实验</w:t>
            </w:r>
            <w:r>
              <w:rPr>
                <w:rStyle w:val="24"/>
                <w:rFonts w:hint="eastAsia" w:ascii="宋体" w:hAnsi="宋体" w:cs="宋体"/>
                <w:b w:val="0"/>
                <w:bCs/>
                <w:color w:val="auto"/>
                <w:spacing w:val="8"/>
                <w:sz w:val="24"/>
                <w:lang w:val="en-US" w:eastAsia="zh-CN"/>
              </w:rPr>
              <w:t>废水为</w:t>
            </w:r>
            <w:r>
              <w:rPr>
                <w:rStyle w:val="24"/>
                <w:rFonts w:hint="eastAsia" w:ascii="宋体" w:hAnsi="宋体" w:cs="宋体"/>
                <w:b w:val="0"/>
                <w:bCs/>
                <w:color w:val="auto"/>
                <w:spacing w:val="8"/>
                <w:sz w:val="24"/>
              </w:rPr>
              <w:t>酸碱废水</w:t>
            </w:r>
            <w:r>
              <w:rPr>
                <w:rFonts w:hint="eastAsia"/>
                <w:color w:val="auto"/>
                <w:sz w:val="24"/>
              </w:rPr>
              <w:t>。经计算，本项目实验废水产生量约为192kg/d，在教学楼旁地下建设中和池，中和池容积为</w:t>
            </w:r>
            <w:r>
              <w:rPr>
                <w:color w:val="auto"/>
                <w:sz w:val="24"/>
              </w:rPr>
              <w:t>0.5×1×1=0.5m</w:t>
            </w:r>
            <w:r>
              <w:rPr>
                <w:color w:val="auto"/>
                <w:sz w:val="24"/>
                <w:vertAlign w:val="superscript"/>
              </w:rPr>
              <w:t>3</w:t>
            </w:r>
            <w:r>
              <w:rPr>
                <w:rFonts w:hint="eastAsia"/>
                <w:color w:val="auto"/>
                <w:sz w:val="24"/>
              </w:rPr>
              <w:t>。</w:t>
            </w:r>
            <w:r>
              <w:rPr>
                <w:rFonts w:hint="eastAsia" w:ascii="宋体" w:hAnsi="宋体" w:cs="宋体"/>
                <w:color w:val="auto"/>
                <w:kern w:val="0"/>
                <w:sz w:val="24"/>
              </w:rPr>
              <w:t>实验废水污染物浓度分别为</w:t>
            </w:r>
            <w:r>
              <w:rPr>
                <w:color w:val="auto"/>
                <w:kern w:val="0"/>
                <w:sz w:val="24"/>
              </w:rPr>
              <w:t>COD400mg/L</w:t>
            </w:r>
            <w:r>
              <w:rPr>
                <w:rFonts w:hint="eastAsia"/>
                <w:color w:val="auto"/>
                <w:kern w:val="0"/>
                <w:sz w:val="24"/>
              </w:rPr>
              <w:t>、</w:t>
            </w:r>
            <w:r>
              <w:rPr>
                <w:color w:val="auto"/>
                <w:kern w:val="0"/>
                <w:sz w:val="24"/>
              </w:rPr>
              <w:t>SS300mg/L</w:t>
            </w:r>
            <w:r>
              <w:rPr>
                <w:rFonts w:hint="eastAsia" w:ascii="宋体" w:hAnsi="宋体" w:cs="宋体"/>
                <w:color w:val="auto"/>
                <w:kern w:val="0"/>
                <w:sz w:val="24"/>
              </w:rPr>
              <w:t>、</w:t>
            </w:r>
            <w:r>
              <w:rPr>
                <w:color w:val="auto"/>
                <w:kern w:val="0"/>
                <w:sz w:val="24"/>
              </w:rPr>
              <w:t>NH</w:t>
            </w:r>
            <w:r>
              <w:rPr>
                <w:color w:val="auto"/>
                <w:kern w:val="0"/>
                <w:sz w:val="15"/>
                <w:szCs w:val="15"/>
              </w:rPr>
              <w:t>3</w:t>
            </w:r>
            <w:r>
              <w:rPr>
                <w:color w:val="auto"/>
                <w:kern w:val="0"/>
                <w:sz w:val="24"/>
              </w:rPr>
              <w:t>-N30mg/L</w:t>
            </w:r>
            <w:r>
              <w:rPr>
                <w:rFonts w:hint="eastAsia" w:ascii="宋体" w:hAnsi="宋体" w:cs="宋体"/>
                <w:color w:val="auto"/>
                <w:kern w:val="0"/>
                <w:sz w:val="24"/>
              </w:rPr>
              <w:t>。</w:t>
            </w:r>
            <w:r>
              <w:rPr>
                <w:rFonts w:hint="eastAsia"/>
                <w:color w:val="auto"/>
                <w:sz w:val="24"/>
              </w:rPr>
              <w:t>根据水质情况在中和池中加入适量的酸碱中和，实验废水经中和池预处理后进入化粪池，餐饮废水经隔油隔渣池预处理进入化粪池，生活废水进入化粪池</w:t>
            </w:r>
            <w:r>
              <w:rPr>
                <w:color w:val="auto"/>
                <w:sz w:val="24"/>
                <w:lang w:val="en-CA"/>
              </w:rPr>
              <w:t>，</w:t>
            </w:r>
            <w:r>
              <w:rPr>
                <w:rFonts w:hint="eastAsia"/>
                <w:color w:val="auto"/>
                <w:sz w:val="24"/>
              </w:rPr>
              <w:t>处理后</w:t>
            </w:r>
            <w:r>
              <w:rPr>
                <w:rFonts w:hint="eastAsia"/>
                <w:color w:val="auto"/>
                <w:sz w:val="24"/>
                <w:lang w:val="en-US" w:eastAsia="zh-CN"/>
              </w:rPr>
              <w:t>的</w:t>
            </w:r>
            <w:r>
              <w:rPr>
                <w:rFonts w:hint="eastAsia"/>
                <w:color w:val="auto"/>
                <w:sz w:val="24"/>
              </w:rPr>
              <w:t>废水</w:t>
            </w:r>
            <w:r>
              <w:rPr>
                <w:color w:val="auto"/>
                <w:sz w:val="24"/>
                <w:lang w:val="en-CA"/>
              </w:rPr>
              <w:t>达到《</w:t>
            </w:r>
            <w:r>
              <w:rPr>
                <w:rFonts w:hint="eastAsia"/>
                <w:color w:val="auto"/>
                <w:sz w:val="24"/>
              </w:rPr>
              <w:t>污水综合</w:t>
            </w:r>
            <w:r>
              <w:rPr>
                <w:color w:val="auto"/>
                <w:sz w:val="24"/>
                <w:lang w:val="en-CA"/>
              </w:rPr>
              <w:t>排放标准》（GB</w:t>
            </w:r>
            <w:r>
              <w:rPr>
                <w:rFonts w:hint="eastAsia"/>
                <w:color w:val="auto"/>
                <w:sz w:val="24"/>
              </w:rPr>
              <w:t>8978</w:t>
            </w:r>
            <w:r>
              <w:rPr>
                <w:color w:val="auto"/>
                <w:sz w:val="24"/>
                <w:lang w:val="en-CA"/>
              </w:rPr>
              <w:t>-</w:t>
            </w:r>
            <w:r>
              <w:rPr>
                <w:rFonts w:hint="eastAsia"/>
                <w:color w:val="auto"/>
                <w:sz w:val="24"/>
              </w:rPr>
              <w:t>1996</w:t>
            </w:r>
            <w:r>
              <w:rPr>
                <w:color w:val="auto"/>
                <w:sz w:val="24"/>
                <w:lang w:val="en-CA"/>
              </w:rPr>
              <w:t>）表</w:t>
            </w:r>
            <w:r>
              <w:rPr>
                <w:rFonts w:hint="eastAsia"/>
                <w:color w:val="auto"/>
                <w:sz w:val="24"/>
              </w:rPr>
              <w:t>4</w:t>
            </w:r>
            <w:r>
              <w:rPr>
                <w:color w:val="auto"/>
                <w:sz w:val="24"/>
                <w:lang w:val="en-CA"/>
              </w:rPr>
              <w:t>中</w:t>
            </w:r>
            <w:r>
              <w:rPr>
                <w:rFonts w:hint="eastAsia"/>
                <w:color w:val="auto"/>
                <w:sz w:val="24"/>
              </w:rPr>
              <w:t>三级</w:t>
            </w:r>
            <w:r>
              <w:rPr>
                <w:color w:val="auto"/>
                <w:sz w:val="24"/>
                <w:lang w:val="en-CA"/>
              </w:rPr>
              <w:t>标准限值</w:t>
            </w:r>
            <w:r>
              <w:rPr>
                <w:rFonts w:hint="eastAsia"/>
                <w:color w:val="auto"/>
                <w:sz w:val="24"/>
                <w:lang w:val="en-US" w:eastAsia="zh-CN"/>
              </w:rPr>
              <w:t>及《污水排入城镇下水道水质标准》(GB T 31962-2015)表1中B级限值</w:t>
            </w:r>
            <w:r>
              <w:rPr>
                <w:color w:val="auto"/>
                <w:sz w:val="24"/>
                <w:lang w:val="en-CA"/>
              </w:rPr>
              <w:t>后排入市政污水管网，最终进入黄山</w:t>
            </w:r>
            <w:r>
              <w:rPr>
                <w:rFonts w:hint="eastAsia"/>
                <w:color w:val="auto"/>
                <w:sz w:val="24"/>
              </w:rPr>
              <w:t>第二</w:t>
            </w:r>
            <w:r>
              <w:rPr>
                <w:color w:val="auto"/>
                <w:sz w:val="24"/>
                <w:lang w:val="en-CA"/>
              </w:rPr>
              <w:t xml:space="preserve">污水处理厂处理达到《城镇污水处理厂污染物排放标准》（GB18918-2002）表 </w:t>
            </w:r>
            <w:r>
              <w:rPr>
                <w:sz w:val="24"/>
                <w:lang w:val="en-CA"/>
              </w:rPr>
              <w:t>1 中的一级A标准后排入</w:t>
            </w:r>
            <w:r>
              <w:rPr>
                <w:rFonts w:hint="eastAsia"/>
                <w:sz w:val="24"/>
              </w:rPr>
              <w:t>横</w:t>
            </w:r>
            <w:r>
              <w:rPr>
                <w:sz w:val="24"/>
                <w:lang w:val="en-CA"/>
              </w:rPr>
              <w:t>江。</w:t>
            </w:r>
          </w:p>
          <w:p>
            <w:pPr>
              <w:spacing w:line="360" w:lineRule="auto"/>
              <w:ind w:firstLine="480" w:firstLineChars="200"/>
              <w:rPr>
                <w:sz w:val="24"/>
              </w:rPr>
            </w:pPr>
            <w:r>
              <w:rPr>
                <w:rFonts w:hint="eastAsia"/>
                <w:sz w:val="24"/>
                <w:lang w:val="en-CA"/>
              </w:rPr>
              <w:t>②</w:t>
            </w:r>
            <w:r>
              <w:rPr>
                <w:sz w:val="24"/>
              </w:rPr>
              <w:t>污水接管可行性分析</w:t>
            </w:r>
          </w:p>
          <w:p>
            <w:pPr>
              <w:spacing w:line="360" w:lineRule="auto"/>
              <w:ind w:firstLine="480" w:firstLineChars="200"/>
              <w:rPr>
                <w:sz w:val="24"/>
                <w:lang w:val="en-CA"/>
              </w:rPr>
            </w:pPr>
            <w:r>
              <w:rPr>
                <w:rFonts w:hint="eastAsia"/>
                <w:sz w:val="24"/>
                <w:lang w:val="en-CA"/>
              </w:rPr>
              <w:t>黄山市中心城区第二污水处理厂位于高新区齐云大道南侧，主要接纳黄山高新区和休宁县的工业污水、生活污水，属于城镇污水处理厂。根据调查资料及黄山市中心城区第二污水处理厂处理工艺为“格栅+絮凝沉淀+反硝化+接触消毒”，处理规模5万m</w:t>
            </w:r>
            <w:r>
              <w:rPr>
                <w:rFonts w:hint="eastAsia"/>
                <w:sz w:val="24"/>
                <w:vertAlign w:val="superscript"/>
                <w:lang w:val="en-CA"/>
              </w:rPr>
              <w:t>3</w:t>
            </w:r>
            <w:r>
              <w:rPr>
                <w:rFonts w:hint="eastAsia"/>
                <w:sz w:val="24"/>
                <w:lang w:val="en-CA"/>
              </w:rPr>
              <w:t>/d，出水能稳定达到一级A标准。</w:t>
            </w:r>
          </w:p>
          <w:p>
            <w:pPr>
              <w:spacing w:line="360" w:lineRule="auto"/>
              <w:ind w:firstLine="480" w:firstLineChars="200"/>
              <w:rPr>
                <w:sz w:val="24"/>
                <w:lang w:val="zh-CN"/>
              </w:rPr>
            </w:pPr>
            <w:r>
              <w:rPr>
                <w:rFonts w:hint="eastAsia"/>
                <w:sz w:val="24"/>
                <w:lang w:val="en-CA"/>
              </w:rPr>
              <w:t>黄山市第二污水处理处理工艺为“氧化沟</w:t>
            </w:r>
            <w:r>
              <w:rPr>
                <w:rFonts w:hint="eastAsia"/>
                <w:sz w:val="24"/>
              </w:rPr>
              <w:t>+二沉池+中间提升泵池+混凝反应沉淀池+V型滤池+紫外线消毒</w:t>
            </w:r>
            <w:r>
              <w:rPr>
                <w:rFonts w:hint="eastAsia"/>
                <w:sz w:val="24"/>
                <w:lang w:val="en-CA"/>
              </w:rPr>
              <w:t>”。根据调查资料及黄山市第二污水处理厂例行监测数据，该污水处理厂目前接纳量约为4万m</w:t>
            </w:r>
            <w:r>
              <w:rPr>
                <w:rFonts w:hint="eastAsia"/>
                <w:sz w:val="24"/>
                <w:vertAlign w:val="superscript"/>
                <w:lang w:val="en-CA"/>
              </w:rPr>
              <w:t>3</w:t>
            </w:r>
            <w:r>
              <w:rPr>
                <w:rFonts w:hint="eastAsia"/>
                <w:sz w:val="24"/>
                <w:lang w:val="en-CA"/>
              </w:rPr>
              <w:t>/d，出水能稳定达到一级</w:t>
            </w:r>
            <w:r>
              <w:rPr>
                <w:rFonts w:hint="eastAsia"/>
                <w:sz w:val="24"/>
              </w:rPr>
              <w:t>A标准</w:t>
            </w:r>
            <w:r>
              <w:rPr>
                <w:rFonts w:hint="eastAsia"/>
                <w:sz w:val="24"/>
                <w:lang w:val="en-CA"/>
              </w:rPr>
              <w:t>。拟建项目实施后，全</w:t>
            </w:r>
            <w:r>
              <w:rPr>
                <w:rFonts w:hint="eastAsia"/>
                <w:sz w:val="24"/>
              </w:rPr>
              <w:t>校区</w:t>
            </w:r>
            <w:r>
              <w:rPr>
                <w:rFonts w:hint="eastAsia"/>
                <w:sz w:val="24"/>
                <w:lang w:val="en-CA"/>
              </w:rPr>
              <w:t>进入污水厂处理的废水总量约为</w:t>
            </w:r>
            <w:r>
              <w:rPr>
                <w:sz w:val="24"/>
              </w:rPr>
              <w:t>1</w:t>
            </w:r>
            <w:r>
              <w:rPr>
                <w:rFonts w:hint="eastAsia"/>
                <w:sz w:val="24"/>
              </w:rPr>
              <w:t>15</w:t>
            </w:r>
            <w:r>
              <w:rPr>
                <w:rFonts w:hint="eastAsia"/>
                <w:sz w:val="24"/>
                <w:lang w:val="en-CA"/>
              </w:rPr>
              <w:t>m</w:t>
            </w:r>
            <w:r>
              <w:rPr>
                <w:rFonts w:hint="eastAsia"/>
                <w:sz w:val="24"/>
                <w:vertAlign w:val="superscript"/>
                <w:lang w:val="en-CA"/>
              </w:rPr>
              <w:t>3</w:t>
            </w:r>
            <w:r>
              <w:rPr>
                <w:rFonts w:hint="eastAsia"/>
                <w:sz w:val="24"/>
                <w:lang w:val="en-CA"/>
              </w:rPr>
              <w:t>/d，相对污水厂5万t/d的处理总量不大，所占比例仅约</w:t>
            </w:r>
            <w:r>
              <w:rPr>
                <w:rFonts w:hint="eastAsia"/>
                <w:sz w:val="24"/>
              </w:rPr>
              <w:t>0.</w:t>
            </w:r>
            <w:r>
              <w:rPr>
                <w:sz w:val="24"/>
              </w:rPr>
              <w:t>2</w:t>
            </w:r>
            <w:r>
              <w:rPr>
                <w:rFonts w:hint="eastAsia"/>
                <w:sz w:val="24"/>
              </w:rPr>
              <w:t>29</w:t>
            </w:r>
            <w:r>
              <w:rPr>
                <w:rFonts w:hint="eastAsia"/>
                <w:sz w:val="24"/>
                <w:lang w:val="en-CA"/>
              </w:rPr>
              <w:t>%，且废水经预处理后，</w:t>
            </w:r>
            <w:r>
              <w:rPr>
                <w:rFonts w:hint="eastAsia"/>
                <w:sz w:val="24"/>
                <w:lang w:val="zh-CN"/>
              </w:rPr>
              <w:t>总排口达到《污水综合排放标准》（GB8978-1996）</w:t>
            </w:r>
            <w:r>
              <w:rPr>
                <w:sz w:val="24"/>
                <w:lang w:val="zh-CN"/>
              </w:rPr>
              <w:t>表4中三级标准</w:t>
            </w:r>
            <w:r>
              <w:rPr>
                <w:rFonts w:hint="eastAsia"/>
                <w:sz w:val="24"/>
                <w:lang w:val="zh-CN"/>
              </w:rPr>
              <w:t>，满足污水处理厂接管标准，</w:t>
            </w:r>
            <w:r>
              <w:rPr>
                <w:rFonts w:hint="eastAsia"/>
                <w:sz w:val="24"/>
                <w:lang w:val="en-CA"/>
              </w:rPr>
              <w:t>黄山市第二污水处理厂完全可以接纳处理拟建项目废水。</w:t>
            </w:r>
          </w:p>
          <w:p>
            <w:pPr>
              <w:spacing w:line="360" w:lineRule="auto"/>
              <w:ind w:firstLine="480" w:firstLineChars="200"/>
              <w:rPr>
                <w:sz w:val="24"/>
              </w:rPr>
            </w:pPr>
            <w:r>
              <w:rPr>
                <w:sz w:val="24"/>
                <w:lang w:val="zh-CN"/>
              </w:rPr>
              <w:t>（</w:t>
            </w:r>
            <w:r>
              <w:rPr>
                <w:rFonts w:hint="eastAsia"/>
                <w:sz w:val="24"/>
              </w:rPr>
              <w:t>3</w:t>
            </w:r>
            <w:r>
              <w:rPr>
                <w:sz w:val="24"/>
                <w:lang w:val="zh-CN"/>
              </w:rPr>
              <w:t>）</w:t>
            </w:r>
            <w:r>
              <w:rPr>
                <w:rFonts w:hint="eastAsia"/>
                <w:sz w:val="24"/>
              </w:rPr>
              <w:t>监测计划</w:t>
            </w:r>
          </w:p>
          <w:p>
            <w:pPr>
              <w:pStyle w:val="2"/>
              <w:ind w:firstLine="480"/>
              <w:rPr>
                <w:szCs w:val="24"/>
                <w:lang w:val="en-US" w:eastAsia="zh-CN"/>
              </w:rPr>
            </w:pPr>
            <w:r>
              <w:rPr>
                <w:rFonts w:hint="eastAsia"/>
                <w:szCs w:val="24"/>
                <w:lang w:val="en-US" w:eastAsia="zh-CN"/>
              </w:rPr>
              <w:t>本项目无需</w:t>
            </w:r>
            <w:r>
              <w:rPr>
                <w:szCs w:val="24"/>
                <w:lang w:val="en-US" w:eastAsia="zh-CN"/>
              </w:rPr>
              <w:t>申请取得排污许可证</w:t>
            </w:r>
            <w:r>
              <w:rPr>
                <w:rFonts w:hint="eastAsia"/>
                <w:szCs w:val="24"/>
                <w:lang w:val="en-US" w:eastAsia="zh-CN"/>
              </w:rPr>
              <w:t>，故不制定监测计划。</w:t>
            </w:r>
          </w:p>
          <w:p>
            <w:pPr>
              <w:spacing w:line="336" w:lineRule="auto"/>
              <w:ind w:firstLine="480" w:firstLineChars="200"/>
              <w:rPr>
                <w:sz w:val="24"/>
                <w:lang w:val="zh-CN"/>
              </w:rPr>
            </w:pPr>
            <w:r>
              <w:rPr>
                <w:sz w:val="24"/>
                <w:lang w:val="zh-CN"/>
              </w:rPr>
              <w:t>（</w:t>
            </w:r>
            <w:r>
              <w:rPr>
                <w:rFonts w:hint="eastAsia"/>
                <w:sz w:val="24"/>
              </w:rPr>
              <w:t>4</w:t>
            </w:r>
            <w:r>
              <w:rPr>
                <w:sz w:val="24"/>
                <w:lang w:val="zh-CN"/>
              </w:rPr>
              <w:t>）废</w:t>
            </w:r>
            <w:r>
              <w:rPr>
                <w:rFonts w:hint="eastAsia"/>
                <w:sz w:val="24"/>
                <w:lang w:val="zh-CN"/>
              </w:rPr>
              <w:t>水</w:t>
            </w:r>
            <w:r>
              <w:rPr>
                <w:sz w:val="24"/>
                <w:lang w:val="zh-CN"/>
              </w:rPr>
              <w:t>达标情况分析</w:t>
            </w:r>
          </w:p>
          <w:p>
            <w:pPr>
              <w:spacing w:line="336" w:lineRule="auto"/>
              <w:ind w:firstLine="480" w:firstLineChars="200"/>
              <w:rPr>
                <w:sz w:val="24"/>
              </w:rPr>
            </w:pPr>
            <w:r>
              <w:rPr>
                <w:rFonts w:hint="eastAsia"/>
                <w:sz w:val="24"/>
              </w:rPr>
              <w:t>本项目废水主要为实验废水、餐饮废水及生活污水。项目</w:t>
            </w:r>
            <w:r>
              <w:rPr>
                <w:sz w:val="24"/>
                <w:lang w:val="en-CA"/>
              </w:rPr>
              <w:t>废水水质简单，</w:t>
            </w:r>
            <w:r>
              <w:rPr>
                <w:sz w:val="24"/>
              </w:rPr>
              <w:t>经中和</w:t>
            </w:r>
            <w:r>
              <w:rPr>
                <w:rFonts w:hint="eastAsia"/>
                <w:sz w:val="24"/>
              </w:rPr>
              <w:t>池</w:t>
            </w:r>
            <w:r>
              <w:rPr>
                <w:sz w:val="24"/>
              </w:rPr>
              <w:t>、</w:t>
            </w:r>
            <w:r>
              <w:rPr>
                <w:rFonts w:hint="eastAsia"/>
                <w:sz w:val="24"/>
              </w:rPr>
              <w:t>隔油隔渣池、</w:t>
            </w:r>
            <w:r>
              <w:rPr>
                <w:sz w:val="24"/>
                <w:lang w:val="en-CA"/>
              </w:rPr>
              <w:t>化粪池预处理后</w:t>
            </w:r>
            <w:r>
              <w:rPr>
                <w:sz w:val="24"/>
                <w:lang w:val="zh-CN"/>
              </w:rPr>
              <w:t>最终排放水质能满足《污水综合排放标准》（GB8978-1996）表4中三级标准</w:t>
            </w:r>
            <w:r>
              <w:rPr>
                <w:sz w:val="24"/>
                <w:lang w:val="en-CA"/>
              </w:rPr>
              <w:t>后排入市政污水管网，最终进入黄山市</w:t>
            </w:r>
            <w:r>
              <w:rPr>
                <w:rFonts w:hint="eastAsia"/>
                <w:sz w:val="24"/>
              </w:rPr>
              <w:t>第二</w:t>
            </w:r>
            <w:r>
              <w:rPr>
                <w:sz w:val="24"/>
                <w:lang w:val="en-CA"/>
              </w:rPr>
              <w:t>污水处理厂处理达到《城镇污水处理厂污染物排放标准》（GB18918-2002）表 1 中的一级A标准后排入</w:t>
            </w:r>
            <w:r>
              <w:rPr>
                <w:rFonts w:hint="eastAsia"/>
                <w:sz w:val="24"/>
              </w:rPr>
              <w:t>横</w:t>
            </w:r>
            <w:r>
              <w:rPr>
                <w:sz w:val="24"/>
                <w:lang w:val="en-CA"/>
              </w:rPr>
              <w:t>江，对水环境影响可接受。</w:t>
            </w:r>
          </w:p>
          <w:p>
            <w:pPr>
              <w:numPr>
                <w:ilvl w:val="0"/>
                <w:numId w:val="8"/>
              </w:numPr>
              <w:spacing w:line="336" w:lineRule="auto"/>
              <w:rPr>
                <w:b/>
                <w:bCs/>
                <w:sz w:val="28"/>
                <w:szCs w:val="28"/>
              </w:rPr>
            </w:pPr>
            <w:r>
              <w:rPr>
                <w:rFonts w:hint="eastAsia"/>
                <w:b/>
                <w:bCs/>
                <w:sz w:val="28"/>
                <w:szCs w:val="28"/>
              </w:rPr>
              <w:t>噪声</w:t>
            </w:r>
          </w:p>
          <w:p>
            <w:pPr>
              <w:spacing w:line="336" w:lineRule="auto"/>
              <w:rPr>
                <w:b/>
                <w:bCs/>
                <w:sz w:val="24"/>
              </w:rPr>
            </w:pPr>
            <w:r>
              <w:rPr>
                <w:rFonts w:hint="eastAsia"/>
                <w:b/>
                <w:bCs/>
                <w:sz w:val="24"/>
              </w:rPr>
              <w:t>（1）源强分析</w:t>
            </w:r>
          </w:p>
          <w:p>
            <w:pPr>
              <w:adjustRightInd w:val="0"/>
              <w:snapToGrid w:val="0"/>
              <w:spacing w:line="360" w:lineRule="auto"/>
              <w:ind w:firstLine="480" w:firstLineChars="200"/>
              <w:rPr>
                <w:sz w:val="24"/>
              </w:rPr>
            </w:pPr>
            <w:r>
              <w:rPr>
                <w:rFonts w:hint="eastAsia"/>
                <w:sz w:val="24"/>
              </w:rPr>
              <w:t>拟建项目噪声污染源</w:t>
            </w:r>
            <w:r>
              <w:rPr>
                <w:sz w:val="24"/>
              </w:rPr>
              <w:t>主要为</w:t>
            </w:r>
            <w:r>
              <w:rPr>
                <w:rFonts w:hint="eastAsia"/>
                <w:sz w:val="24"/>
              </w:rPr>
              <w:t>地下车库风机噪声、空调噪声、厨房油烟机风机噪声、汽车进出学校产生的交通噪声</w:t>
            </w:r>
            <w:r>
              <w:rPr>
                <w:sz w:val="24"/>
              </w:rPr>
              <w:t>。</w:t>
            </w:r>
          </w:p>
          <w:p>
            <w:pPr>
              <w:pStyle w:val="55"/>
              <w:adjustRightInd w:val="0"/>
              <w:snapToGrid w:val="0"/>
              <w:ind w:firstLine="480"/>
            </w:pPr>
            <w:r>
              <w:t>校内设地下停</w:t>
            </w:r>
            <w:r>
              <w:rPr>
                <w:rFonts w:hint="eastAsia"/>
              </w:rPr>
              <w:t>车位</w:t>
            </w:r>
            <w:r>
              <w:t>及地上停车位，内部机动车辆行驶噪声声级约为60～70dB(A)，属间歇性发生，</w:t>
            </w:r>
            <w:r>
              <w:rPr>
                <w:rFonts w:hint="eastAsia"/>
              </w:rPr>
              <w:t>仅限教职工</w:t>
            </w:r>
            <w:r>
              <w:t>在每天的上学、放学</w:t>
            </w:r>
            <w:r>
              <w:rPr>
                <w:rFonts w:hint="eastAsia"/>
              </w:rPr>
              <w:t>进出</w:t>
            </w:r>
            <w:r>
              <w:t>。一般情况下，将车速限制在15-20km/h时以下时，可使车辆行驶噪声降低15～20dB(A)左右，对校内行驶车辆限速行驶速度不得高于20km/h，并严禁鸣笛</w:t>
            </w:r>
            <w:r>
              <w:rPr>
                <w:rFonts w:hint="eastAsia"/>
              </w:rPr>
              <w:t>。因此，交通噪声对校内学生宿舍楼、教工公寓楼等敏感目标影响不大。</w:t>
            </w:r>
          </w:p>
          <w:p>
            <w:pPr>
              <w:pStyle w:val="55"/>
              <w:adjustRightInd w:val="0"/>
              <w:snapToGrid w:val="0"/>
              <w:ind w:firstLine="480"/>
            </w:pPr>
            <w:r>
              <w:rPr>
                <w:rFonts w:hint="eastAsia"/>
              </w:rPr>
              <w:t>空调外机在室外尽量远离窗户安装，经过减震、管道软连接处理。空调启动时窗户密闭，学校窗户采用</w:t>
            </w:r>
            <w:r>
              <w:rPr>
                <w:rFonts w:hint="eastAsia" w:ascii="Times New Roman" w:cs="Times New Roman"/>
                <w:kern w:val="0"/>
              </w:rPr>
              <w:t>双层玻璃窗的隔声量可以达到</w:t>
            </w:r>
            <w:r>
              <w:rPr>
                <w:rFonts w:ascii="Times New Roman" w:hAnsi="Times New Roman" w:cs="Times New Roman"/>
                <w:kern w:val="0"/>
              </w:rPr>
              <w:t>28.8dB(A)(</w:t>
            </w:r>
            <w:r>
              <w:rPr>
                <w:rFonts w:hint="eastAsia" w:ascii="Times New Roman" w:cs="Times New Roman"/>
                <w:kern w:val="0"/>
              </w:rPr>
              <w:t>引自《环境影响评价理论与实践》</w:t>
            </w:r>
            <w:r>
              <w:rPr>
                <w:rFonts w:ascii="Times New Roman" w:hAnsi="Times New Roman" w:cs="Times New Roman"/>
                <w:kern w:val="0"/>
              </w:rPr>
              <w:t>)</w:t>
            </w:r>
            <w:r>
              <w:rPr>
                <w:rFonts w:hint="eastAsia"/>
              </w:rPr>
              <w:t>。经过上述处理空调噪声对校内学生宿舍楼、教工公寓楼等敏感目标影响不大。</w:t>
            </w:r>
          </w:p>
          <w:p>
            <w:pPr>
              <w:pStyle w:val="55"/>
              <w:adjustRightInd w:val="0"/>
              <w:snapToGrid w:val="0"/>
              <w:ind w:firstLine="480"/>
            </w:pPr>
            <w:r>
              <w:rPr>
                <w:rFonts w:hint="eastAsia"/>
              </w:rPr>
              <w:t>综上所述，本次噪声量化预测不涉及空调、汽车进出学校产生的交通噪声，仅对厨房油烟机风机和地下车库风机噪声进行量化预测。</w:t>
            </w:r>
          </w:p>
          <w:p>
            <w:pPr>
              <w:pStyle w:val="28"/>
              <w:spacing w:beforeLines="0" w:afterLines="0" w:line="360" w:lineRule="auto"/>
              <w:ind w:firstLineChars="200"/>
            </w:pPr>
            <w:r>
              <w:rPr>
                <w:rFonts w:hint="eastAsia"/>
              </w:rPr>
              <w:t>厨房油烟机风机</w:t>
            </w:r>
            <w:r>
              <w:rPr>
                <w:lang w:val="zh-CN"/>
              </w:rPr>
              <w:t>源强分析见下表：</w:t>
            </w:r>
          </w:p>
          <w:p>
            <w:pPr>
              <w:snapToGrid w:val="0"/>
              <w:jc w:val="center"/>
              <w:outlineLvl w:val="1"/>
              <w:rPr>
                <w:b/>
                <w:sz w:val="24"/>
              </w:rPr>
            </w:pPr>
            <w:r>
              <w:rPr>
                <w:b/>
                <w:sz w:val="24"/>
              </w:rPr>
              <w:t>表4-</w:t>
            </w:r>
            <w:r>
              <w:rPr>
                <w:rFonts w:hint="eastAsia"/>
                <w:b/>
                <w:sz w:val="24"/>
                <w:lang w:val="en-US" w:eastAsia="zh-CN"/>
              </w:rPr>
              <w:t xml:space="preserve">4  </w:t>
            </w:r>
            <w:r>
              <w:rPr>
                <w:rFonts w:hint="eastAsia"/>
                <w:b/>
                <w:sz w:val="24"/>
              </w:rPr>
              <w:t>项目技改后新增</w:t>
            </w:r>
            <w:r>
              <w:rPr>
                <w:b/>
                <w:sz w:val="24"/>
              </w:rPr>
              <w:t>设备噪声源强表</w:t>
            </w:r>
          </w:p>
          <w:tbl>
            <w:tblPr>
              <w:tblStyle w:val="21"/>
              <w:tblW w:w="498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8"/>
              <w:gridCol w:w="1229"/>
              <w:gridCol w:w="1118"/>
              <w:gridCol w:w="939"/>
              <w:gridCol w:w="1115"/>
              <w:gridCol w:w="1374"/>
              <w:gridCol w:w="1108"/>
              <w:gridCol w:w="9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4" w:type="pct"/>
                  <w:vAlign w:val="center"/>
                </w:tcPr>
                <w:p>
                  <w:pPr>
                    <w:pStyle w:val="50"/>
                    <w:spacing w:line="240" w:lineRule="auto"/>
                    <w:rPr>
                      <w:b/>
                      <w:bCs w:val="0"/>
                      <w:sz w:val="21"/>
                    </w:rPr>
                  </w:pPr>
                  <w:r>
                    <w:rPr>
                      <w:b/>
                      <w:bCs w:val="0"/>
                      <w:sz w:val="21"/>
                    </w:rPr>
                    <w:t>序号</w:t>
                  </w:r>
                </w:p>
              </w:tc>
              <w:tc>
                <w:tcPr>
                  <w:tcW w:w="741" w:type="pct"/>
                  <w:vAlign w:val="center"/>
                </w:tcPr>
                <w:p>
                  <w:pPr>
                    <w:pStyle w:val="50"/>
                    <w:spacing w:line="240" w:lineRule="auto"/>
                    <w:rPr>
                      <w:b/>
                      <w:bCs w:val="0"/>
                      <w:sz w:val="21"/>
                    </w:rPr>
                  </w:pPr>
                  <w:r>
                    <w:rPr>
                      <w:b/>
                      <w:bCs w:val="0"/>
                      <w:sz w:val="21"/>
                    </w:rPr>
                    <w:t>主要产</w:t>
                  </w:r>
                </w:p>
                <w:p>
                  <w:pPr>
                    <w:pStyle w:val="50"/>
                    <w:spacing w:line="240" w:lineRule="auto"/>
                    <w:rPr>
                      <w:b/>
                      <w:bCs w:val="0"/>
                      <w:sz w:val="21"/>
                    </w:rPr>
                  </w:pPr>
                  <w:r>
                    <w:rPr>
                      <w:b/>
                      <w:bCs w:val="0"/>
                      <w:sz w:val="21"/>
                    </w:rPr>
                    <w:t>噪设备</w:t>
                  </w:r>
                </w:p>
              </w:tc>
              <w:tc>
                <w:tcPr>
                  <w:tcW w:w="674" w:type="pct"/>
                  <w:vAlign w:val="center"/>
                </w:tcPr>
                <w:p>
                  <w:pPr>
                    <w:pStyle w:val="50"/>
                    <w:spacing w:line="240" w:lineRule="auto"/>
                    <w:rPr>
                      <w:b/>
                      <w:bCs w:val="0"/>
                      <w:sz w:val="21"/>
                    </w:rPr>
                  </w:pPr>
                  <w:r>
                    <w:rPr>
                      <w:b/>
                      <w:bCs w:val="0"/>
                      <w:sz w:val="21"/>
                    </w:rPr>
                    <w:t>位置</w:t>
                  </w:r>
                </w:p>
              </w:tc>
              <w:tc>
                <w:tcPr>
                  <w:tcW w:w="566" w:type="pct"/>
                  <w:vAlign w:val="center"/>
                </w:tcPr>
                <w:p>
                  <w:pPr>
                    <w:pStyle w:val="50"/>
                    <w:spacing w:line="240" w:lineRule="auto"/>
                    <w:rPr>
                      <w:b/>
                      <w:bCs w:val="0"/>
                      <w:sz w:val="21"/>
                    </w:rPr>
                  </w:pPr>
                  <w:r>
                    <w:rPr>
                      <w:b/>
                      <w:bCs w:val="0"/>
                      <w:sz w:val="21"/>
                    </w:rPr>
                    <w:t>噪声源数量</w:t>
                  </w:r>
                </w:p>
              </w:tc>
              <w:tc>
                <w:tcPr>
                  <w:tcW w:w="672" w:type="pct"/>
                  <w:vAlign w:val="center"/>
                </w:tcPr>
                <w:p>
                  <w:pPr>
                    <w:pStyle w:val="50"/>
                    <w:spacing w:line="240" w:lineRule="auto"/>
                    <w:rPr>
                      <w:b/>
                      <w:bCs w:val="0"/>
                      <w:sz w:val="21"/>
                    </w:rPr>
                  </w:pPr>
                  <w:r>
                    <w:rPr>
                      <w:b/>
                      <w:bCs w:val="0"/>
                      <w:sz w:val="21"/>
                    </w:rPr>
                    <w:t>噪声值</w:t>
                  </w:r>
                </w:p>
              </w:tc>
              <w:tc>
                <w:tcPr>
                  <w:tcW w:w="828" w:type="pct"/>
                  <w:vAlign w:val="center"/>
                </w:tcPr>
                <w:p>
                  <w:pPr>
                    <w:pStyle w:val="50"/>
                    <w:spacing w:line="240" w:lineRule="auto"/>
                    <w:rPr>
                      <w:b/>
                      <w:bCs w:val="0"/>
                      <w:sz w:val="21"/>
                    </w:rPr>
                  </w:pPr>
                  <w:r>
                    <w:rPr>
                      <w:b/>
                      <w:bCs w:val="0"/>
                      <w:sz w:val="21"/>
                    </w:rPr>
                    <w:t>降噪措施</w:t>
                  </w:r>
                </w:p>
              </w:tc>
              <w:tc>
                <w:tcPr>
                  <w:tcW w:w="668" w:type="pct"/>
                  <w:vAlign w:val="center"/>
                </w:tcPr>
                <w:p>
                  <w:pPr>
                    <w:pStyle w:val="50"/>
                    <w:spacing w:line="240" w:lineRule="auto"/>
                    <w:rPr>
                      <w:b/>
                      <w:bCs w:val="0"/>
                      <w:sz w:val="21"/>
                    </w:rPr>
                  </w:pPr>
                  <w:r>
                    <w:rPr>
                      <w:b/>
                      <w:bCs w:val="0"/>
                      <w:sz w:val="21"/>
                    </w:rPr>
                    <w:t>噪声</w:t>
                  </w:r>
                </w:p>
                <w:p>
                  <w:pPr>
                    <w:pStyle w:val="50"/>
                    <w:spacing w:line="240" w:lineRule="auto"/>
                    <w:rPr>
                      <w:b/>
                      <w:bCs w:val="0"/>
                      <w:sz w:val="21"/>
                    </w:rPr>
                  </w:pPr>
                  <w:r>
                    <w:rPr>
                      <w:b/>
                      <w:bCs w:val="0"/>
                      <w:sz w:val="21"/>
                    </w:rPr>
                    <w:t>消减量</w:t>
                  </w:r>
                </w:p>
              </w:tc>
              <w:tc>
                <w:tcPr>
                  <w:tcW w:w="582" w:type="pct"/>
                  <w:vAlign w:val="center"/>
                </w:tcPr>
                <w:p>
                  <w:pPr>
                    <w:pStyle w:val="50"/>
                    <w:spacing w:line="240" w:lineRule="auto"/>
                    <w:rPr>
                      <w:b/>
                      <w:bCs w:val="0"/>
                      <w:sz w:val="21"/>
                    </w:rPr>
                  </w:pPr>
                  <w:r>
                    <w:rPr>
                      <w:b/>
                      <w:bCs w:val="0"/>
                      <w:sz w:val="21"/>
                    </w:rPr>
                    <w:t>持续</w:t>
                  </w:r>
                </w:p>
                <w:p>
                  <w:pPr>
                    <w:pStyle w:val="50"/>
                    <w:spacing w:line="240" w:lineRule="auto"/>
                    <w:rPr>
                      <w:b/>
                      <w:bCs w:val="0"/>
                      <w:sz w:val="21"/>
                    </w:rPr>
                  </w:pPr>
                  <w:r>
                    <w:rPr>
                      <w:b/>
                      <w:bCs w:val="0"/>
                      <w:sz w:val="21"/>
                    </w:rPr>
                    <w:t>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9" w:hRule="atLeast"/>
              </w:trPr>
              <w:tc>
                <w:tcPr>
                  <w:tcW w:w="264" w:type="pct"/>
                  <w:vAlign w:val="center"/>
                </w:tcPr>
                <w:p>
                  <w:pPr>
                    <w:pStyle w:val="50"/>
                    <w:spacing w:line="240" w:lineRule="auto"/>
                    <w:rPr>
                      <w:b w:val="0"/>
                      <w:bCs/>
                      <w:sz w:val="21"/>
                    </w:rPr>
                  </w:pPr>
                  <w:r>
                    <w:rPr>
                      <w:rFonts w:hint="eastAsia"/>
                      <w:b w:val="0"/>
                      <w:bCs/>
                      <w:sz w:val="21"/>
                    </w:rPr>
                    <w:t>1</w:t>
                  </w:r>
                </w:p>
              </w:tc>
              <w:tc>
                <w:tcPr>
                  <w:tcW w:w="741" w:type="pct"/>
                  <w:vAlign w:val="center"/>
                </w:tcPr>
                <w:p>
                  <w:pPr>
                    <w:pStyle w:val="50"/>
                    <w:spacing w:line="240" w:lineRule="auto"/>
                    <w:rPr>
                      <w:b w:val="0"/>
                      <w:bCs/>
                      <w:sz w:val="21"/>
                    </w:rPr>
                  </w:pPr>
                  <w:r>
                    <w:rPr>
                      <w:b w:val="0"/>
                      <w:bCs/>
                      <w:sz w:val="21"/>
                    </w:rPr>
                    <w:t>风机</w:t>
                  </w:r>
                </w:p>
              </w:tc>
              <w:tc>
                <w:tcPr>
                  <w:tcW w:w="674" w:type="pct"/>
                  <w:vAlign w:val="center"/>
                </w:tcPr>
                <w:p>
                  <w:pPr>
                    <w:pStyle w:val="50"/>
                    <w:spacing w:line="240" w:lineRule="auto"/>
                    <w:rPr>
                      <w:b w:val="0"/>
                      <w:bCs/>
                      <w:sz w:val="21"/>
                    </w:rPr>
                  </w:pPr>
                  <w:r>
                    <w:rPr>
                      <w:rFonts w:hint="eastAsia"/>
                      <w:b w:val="0"/>
                      <w:bCs/>
                      <w:sz w:val="21"/>
                    </w:rPr>
                    <w:t>食堂厨房</w:t>
                  </w:r>
                </w:p>
              </w:tc>
              <w:tc>
                <w:tcPr>
                  <w:tcW w:w="566" w:type="pct"/>
                  <w:vAlign w:val="center"/>
                </w:tcPr>
                <w:p>
                  <w:pPr>
                    <w:pStyle w:val="50"/>
                    <w:spacing w:line="240" w:lineRule="auto"/>
                    <w:rPr>
                      <w:b w:val="0"/>
                      <w:bCs/>
                      <w:sz w:val="21"/>
                    </w:rPr>
                  </w:pPr>
                  <w:r>
                    <w:rPr>
                      <w:rFonts w:hint="eastAsia"/>
                      <w:b w:val="0"/>
                      <w:bCs/>
                      <w:sz w:val="21"/>
                    </w:rPr>
                    <w:t>1</w:t>
                  </w:r>
                  <w:r>
                    <w:rPr>
                      <w:b w:val="0"/>
                      <w:bCs/>
                      <w:sz w:val="21"/>
                    </w:rPr>
                    <w:t>个</w:t>
                  </w:r>
                </w:p>
              </w:tc>
              <w:tc>
                <w:tcPr>
                  <w:tcW w:w="672" w:type="pct"/>
                  <w:vAlign w:val="center"/>
                </w:tcPr>
                <w:p>
                  <w:pPr>
                    <w:pStyle w:val="50"/>
                    <w:spacing w:line="240" w:lineRule="auto"/>
                    <w:rPr>
                      <w:b w:val="0"/>
                      <w:bCs/>
                      <w:sz w:val="21"/>
                    </w:rPr>
                  </w:pPr>
                  <w:r>
                    <w:rPr>
                      <w:rFonts w:hint="eastAsia"/>
                      <w:b w:val="0"/>
                      <w:bCs/>
                      <w:sz w:val="21"/>
                    </w:rPr>
                    <w:t>100</w:t>
                  </w:r>
                  <w:r>
                    <w:rPr>
                      <w:b w:val="0"/>
                      <w:bCs/>
                      <w:sz w:val="21"/>
                    </w:rPr>
                    <w:t>dB(A)</w:t>
                  </w:r>
                </w:p>
              </w:tc>
              <w:tc>
                <w:tcPr>
                  <w:tcW w:w="828" w:type="pct"/>
                  <w:vAlign w:val="center"/>
                </w:tcPr>
                <w:p>
                  <w:pPr>
                    <w:pStyle w:val="50"/>
                    <w:spacing w:line="240" w:lineRule="auto"/>
                    <w:rPr>
                      <w:b w:val="0"/>
                      <w:bCs/>
                      <w:sz w:val="21"/>
                    </w:rPr>
                  </w:pPr>
                  <w:r>
                    <w:rPr>
                      <w:rFonts w:hint="eastAsia"/>
                      <w:b w:val="0"/>
                      <w:bCs/>
                      <w:sz w:val="21"/>
                    </w:rPr>
                    <w:t>墙体隔声、风机管道软连接、减振</w:t>
                  </w:r>
                </w:p>
              </w:tc>
              <w:tc>
                <w:tcPr>
                  <w:tcW w:w="668" w:type="pct"/>
                  <w:vAlign w:val="center"/>
                </w:tcPr>
                <w:p>
                  <w:pPr>
                    <w:pStyle w:val="50"/>
                    <w:spacing w:line="240" w:lineRule="auto"/>
                    <w:rPr>
                      <w:b w:val="0"/>
                      <w:bCs/>
                      <w:sz w:val="21"/>
                    </w:rPr>
                  </w:pPr>
                  <w:r>
                    <w:rPr>
                      <w:rFonts w:hint="eastAsia"/>
                      <w:b w:val="0"/>
                      <w:bCs/>
                      <w:sz w:val="21"/>
                    </w:rPr>
                    <w:t>30</w:t>
                  </w:r>
                  <w:r>
                    <w:rPr>
                      <w:b w:val="0"/>
                      <w:bCs/>
                      <w:sz w:val="21"/>
                    </w:rPr>
                    <w:t>dB(A)</w:t>
                  </w:r>
                </w:p>
              </w:tc>
              <w:tc>
                <w:tcPr>
                  <w:tcW w:w="582" w:type="pct"/>
                  <w:vAlign w:val="center"/>
                </w:tcPr>
                <w:p>
                  <w:pPr>
                    <w:pStyle w:val="50"/>
                    <w:spacing w:line="240" w:lineRule="auto"/>
                    <w:rPr>
                      <w:b w:val="0"/>
                      <w:bCs/>
                      <w:sz w:val="21"/>
                    </w:rPr>
                  </w:pPr>
                  <w:r>
                    <w:rPr>
                      <w:b w:val="0"/>
                      <w:bCs/>
                      <w:sz w:val="21"/>
                    </w:rPr>
                    <w:t>8h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 w:hRule="atLeast"/>
              </w:trPr>
              <w:tc>
                <w:tcPr>
                  <w:tcW w:w="264" w:type="pct"/>
                  <w:vAlign w:val="center"/>
                </w:tcPr>
                <w:p>
                  <w:pPr>
                    <w:pStyle w:val="50"/>
                    <w:spacing w:line="240" w:lineRule="auto"/>
                    <w:rPr>
                      <w:b w:val="0"/>
                      <w:bCs/>
                      <w:sz w:val="21"/>
                    </w:rPr>
                  </w:pPr>
                  <w:r>
                    <w:rPr>
                      <w:rFonts w:hint="eastAsia"/>
                      <w:b w:val="0"/>
                      <w:bCs/>
                      <w:sz w:val="21"/>
                    </w:rPr>
                    <w:t>2</w:t>
                  </w:r>
                </w:p>
              </w:tc>
              <w:tc>
                <w:tcPr>
                  <w:tcW w:w="741" w:type="pct"/>
                  <w:vAlign w:val="center"/>
                </w:tcPr>
                <w:p>
                  <w:pPr>
                    <w:pStyle w:val="50"/>
                    <w:spacing w:line="240" w:lineRule="auto"/>
                    <w:rPr>
                      <w:b w:val="0"/>
                      <w:bCs/>
                      <w:sz w:val="21"/>
                    </w:rPr>
                  </w:pPr>
                  <w:r>
                    <w:rPr>
                      <w:rFonts w:hint="eastAsia"/>
                      <w:b w:val="0"/>
                      <w:bCs/>
                      <w:sz w:val="21"/>
                    </w:rPr>
                    <w:t>风机</w:t>
                  </w:r>
                </w:p>
              </w:tc>
              <w:tc>
                <w:tcPr>
                  <w:tcW w:w="674" w:type="pct"/>
                  <w:vAlign w:val="center"/>
                </w:tcPr>
                <w:p>
                  <w:pPr>
                    <w:pStyle w:val="50"/>
                    <w:spacing w:line="240" w:lineRule="auto"/>
                    <w:rPr>
                      <w:b w:val="0"/>
                      <w:bCs/>
                      <w:sz w:val="21"/>
                    </w:rPr>
                  </w:pPr>
                  <w:r>
                    <w:rPr>
                      <w:rFonts w:hint="eastAsia"/>
                      <w:b w:val="0"/>
                      <w:bCs/>
                      <w:sz w:val="21"/>
                    </w:rPr>
                    <w:t>地下车库</w:t>
                  </w:r>
                </w:p>
              </w:tc>
              <w:tc>
                <w:tcPr>
                  <w:tcW w:w="566" w:type="pct"/>
                  <w:vAlign w:val="center"/>
                </w:tcPr>
                <w:p>
                  <w:pPr>
                    <w:pStyle w:val="50"/>
                    <w:spacing w:line="240" w:lineRule="auto"/>
                    <w:rPr>
                      <w:b w:val="0"/>
                      <w:bCs/>
                      <w:sz w:val="21"/>
                    </w:rPr>
                  </w:pPr>
                  <w:r>
                    <w:rPr>
                      <w:rFonts w:hint="eastAsia"/>
                      <w:b w:val="0"/>
                      <w:bCs/>
                      <w:sz w:val="21"/>
                    </w:rPr>
                    <w:t>1个</w:t>
                  </w:r>
                </w:p>
              </w:tc>
              <w:tc>
                <w:tcPr>
                  <w:tcW w:w="672" w:type="pct"/>
                  <w:vAlign w:val="center"/>
                </w:tcPr>
                <w:p>
                  <w:pPr>
                    <w:pStyle w:val="50"/>
                    <w:spacing w:line="240" w:lineRule="auto"/>
                    <w:rPr>
                      <w:b w:val="0"/>
                      <w:bCs/>
                      <w:sz w:val="21"/>
                    </w:rPr>
                  </w:pPr>
                  <w:r>
                    <w:rPr>
                      <w:rFonts w:hint="eastAsia"/>
                      <w:b w:val="0"/>
                      <w:bCs/>
                      <w:sz w:val="21"/>
                    </w:rPr>
                    <w:t>110dB(A)</w:t>
                  </w:r>
                </w:p>
              </w:tc>
              <w:tc>
                <w:tcPr>
                  <w:tcW w:w="828" w:type="pct"/>
                  <w:vAlign w:val="center"/>
                </w:tcPr>
                <w:p>
                  <w:pPr>
                    <w:pStyle w:val="50"/>
                    <w:spacing w:line="240" w:lineRule="auto"/>
                    <w:rPr>
                      <w:b w:val="0"/>
                      <w:bCs/>
                      <w:sz w:val="21"/>
                    </w:rPr>
                  </w:pPr>
                  <w:r>
                    <w:rPr>
                      <w:rFonts w:hint="eastAsia"/>
                      <w:b w:val="0"/>
                      <w:bCs/>
                      <w:sz w:val="21"/>
                    </w:rPr>
                    <w:t>墙体隔声、安装消声器、风机管道软连接、减振</w:t>
                  </w:r>
                </w:p>
              </w:tc>
              <w:tc>
                <w:tcPr>
                  <w:tcW w:w="668" w:type="pct"/>
                  <w:vAlign w:val="center"/>
                </w:tcPr>
                <w:p>
                  <w:pPr>
                    <w:pStyle w:val="50"/>
                    <w:spacing w:line="240" w:lineRule="auto"/>
                    <w:rPr>
                      <w:b w:val="0"/>
                      <w:bCs/>
                      <w:sz w:val="21"/>
                    </w:rPr>
                  </w:pPr>
                  <w:r>
                    <w:rPr>
                      <w:rFonts w:hint="eastAsia"/>
                      <w:b w:val="0"/>
                      <w:bCs/>
                      <w:sz w:val="21"/>
                    </w:rPr>
                    <w:t>40</w:t>
                  </w:r>
                  <w:r>
                    <w:rPr>
                      <w:b w:val="0"/>
                      <w:bCs/>
                      <w:sz w:val="21"/>
                    </w:rPr>
                    <w:t>dB(A)</w:t>
                  </w:r>
                </w:p>
              </w:tc>
              <w:tc>
                <w:tcPr>
                  <w:tcW w:w="582" w:type="pct"/>
                  <w:vAlign w:val="center"/>
                </w:tcPr>
                <w:p>
                  <w:pPr>
                    <w:pStyle w:val="50"/>
                    <w:spacing w:line="240" w:lineRule="auto"/>
                    <w:rPr>
                      <w:b w:val="0"/>
                      <w:bCs/>
                      <w:sz w:val="21"/>
                    </w:rPr>
                  </w:pPr>
                  <w:r>
                    <w:rPr>
                      <w:rFonts w:hint="eastAsia"/>
                      <w:b w:val="0"/>
                      <w:bCs/>
                      <w:sz w:val="21"/>
                    </w:rPr>
                    <w:t>16h</w:t>
                  </w:r>
                </w:p>
              </w:tc>
            </w:tr>
          </w:tbl>
          <w:p>
            <w:pPr>
              <w:spacing w:line="360" w:lineRule="auto"/>
              <w:rPr>
                <w:b/>
                <w:bCs/>
                <w:sz w:val="24"/>
              </w:rPr>
            </w:pPr>
            <w:r>
              <w:rPr>
                <w:rFonts w:hint="eastAsia"/>
                <w:b/>
                <w:bCs/>
                <w:sz w:val="24"/>
              </w:rPr>
              <w:t>（2）噪声预测</w:t>
            </w:r>
          </w:p>
          <w:p>
            <w:pPr>
              <w:spacing w:line="336" w:lineRule="auto"/>
              <w:ind w:firstLine="480" w:firstLineChars="200"/>
              <w:rPr>
                <w:sz w:val="24"/>
              </w:rPr>
            </w:pPr>
            <w:r>
              <w:rPr>
                <w:kern w:val="0"/>
                <w:sz w:val="24"/>
              </w:rPr>
              <w:pict>
                <v:shape id="对象 193" o:spid="_x0000_s1097" o:spt="75" type="#_x0000_t75" style="position:absolute;left:0pt;margin-left:109.2pt;margin-top:13.4pt;height:45.95pt;width:160.5pt;z-index:251659264;mso-width-relative:page;mso-height-relative:page;" filled="f" o:preferrelative="t" stroked="f" coordsize="21600,21600">
                  <v:path/>
                  <v:fill on="f" focussize="0,0"/>
                  <v:stroke on="f"/>
                  <v:imagedata r:id="rId23" o:title=""/>
                  <o:lock v:ext="edit" aspectratio="t"/>
                </v:shape>
              </w:pict>
            </w:r>
            <w:r>
              <w:rPr>
                <w:sz w:val="24"/>
              </w:rPr>
              <w:t>建设项目声源在预测点产生的等效声级贡献值（Leqg）计算公式：</w:t>
            </w:r>
          </w:p>
          <w:p>
            <w:pPr>
              <w:spacing w:line="336" w:lineRule="auto"/>
              <w:ind w:firstLine="480" w:firstLineChars="200"/>
              <w:rPr>
                <w:sz w:val="24"/>
              </w:rPr>
            </w:pPr>
          </w:p>
          <w:p>
            <w:pPr>
              <w:spacing w:line="336" w:lineRule="auto"/>
              <w:rPr>
                <w:sz w:val="24"/>
              </w:rPr>
            </w:pPr>
          </w:p>
          <w:p>
            <w:pPr>
              <w:spacing w:line="336" w:lineRule="auto"/>
              <w:rPr>
                <w:sz w:val="24"/>
              </w:rPr>
            </w:pPr>
            <w:r>
              <w:rPr>
                <w:sz w:val="24"/>
              </w:rPr>
              <w:t xml:space="preserve">    式中： Leqg ——建设项目声源在预测点的等效声级贡献值，dB(A)；</w:t>
            </w:r>
          </w:p>
          <w:p>
            <w:pPr>
              <w:spacing w:line="336" w:lineRule="auto"/>
              <w:ind w:firstLine="1320" w:firstLineChars="550"/>
              <w:rPr>
                <w:sz w:val="24"/>
              </w:rPr>
            </w:pPr>
            <w:r>
              <w:rPr>
                <w:sz w:val="24"/>
              </w:rPr>
              <w:t>L</w:t>
            </w:r>
            <w:r>
              <w:rPr>
                <w:sz w:val="24"/>
                <w:vertAlign w:val="subscript"/>
              </w:rPr>
              <w:t>Ai</w:t>
            </w:r>
            <w:r>
              <w:rPr>
                <w:sz w:val="24"/>
              </w:rPr>
              <w:t xml:space="preserve"> ——i声源在预测点产生的A声级，dB(A)；</w:t>
            </w:r>
          </w:p>
          <w:p>
            <w:pPr>
              <w:spacing w:line="336" w:lineRule="auto"/>
              <w:ind w:left="1980" w:leftChars="600" w:hanging="720" w:hangingChars="300"/>
              <w:rPr>
                <w:sz w:val="24"/>
              </w:rPr>
            </w:pPr>
            <w:r>
              <w:rPr>
                <w:sz w:val="24"/>
              </w:rPr>
              <w:t>T ——预测计算的时间段，s；本项目为白班8小时，故预测计算的时间段取8h。</w:t>
            </w:r>
          </w:p>
          <w:p>
            <w:pPr>
              <w:spacing w:line="336" w:lineRule="auto"/>
              <w:ind w:firstLine="1320" w:firstLineChars="550"/>
              <w:rPr>
                <w:sz w:val="24"/>
              </w:rPr>
            </w:pPr>
            <w:r>
              <w:rPr>
                <w:sz w:val="24"/>
              </w:rPr>
              <w:t>t</w:t>
            </w:r>
            <w:r>
              <w:rPr>
                <w:sz w:val="24"/>
                <w:vertAlign w:val="subscript"/>
              </w:rPr>
              <w:t>i</w:t>
            </w:r>
            <w:r>
              <w:rPr>
                <w:sz w:val="24"/>
              </w:rPr>
              <w:t xml:space="preserve"> ——i声源在T时段内的运行时间，s。</w:t>
            </w:r>
          </w:p>
          <w:p>
            <w:pPr>
              <w:spacing w:line="360" w:lineRule="auto"/>
              <w:ind w:firstLine="480" w:firstLineChars="200"/>
              <w:rPr>
                <w:sz w:val="24"/>
              </w:rPr>
            </w:pPr>
            <w:r>
              <w:rPr>
                <w:rFonts w:hint="eastAsia"/>
                <w:sz w:val="24"/>
              </w:rPr>
              <w:t>根据</w:t>
            </w:r>
            <w:r>
              <w:rPr>
                <w:sz w:val="24"/>
              </w:rPr>
              <w:t>声衰减计算简化为无指向性点声源几何发散衰减的基本公式：</w:t>
            </w:r>
          </w:p>
          <w:p>
            <w:pPr>
              <w:pStyle w:val="28"/>
              <w:spacing w:beforeLines="0" w:afterLines="0" w:line="360" w:lineRule="auto"/>
              <w:ind w:firstLine="0"/>
              <w:jc w:val="center"/>
            </w:pPr>
            <w:r>
              <w:rPr>
                <w:kern w:val="0"/>
              </w:rPr>
              <w:pict>
                <v:shape id="对象 123" o:spid="_x0000_s1077" o:spt="75" type="#_x0000_t75" style="position:absolute;left:0pt;margin-left:103pt;margin-top:1.2pt;height:32.85pt;width:199.15pt;mso-wrap-distance-bottom:0pt;mso-wrap-distance-left:9pt;mso-wrap-distance-right:9pt;mso-wrap-distance-top:0pt;z-index:251659264;mso-width-relative:page;mso-height-relative:page;" filled="f" o:preferrelative="t" stroked="f" coordsize="21600,21600">
                  <v:path/>
                  <v:fill on="f" focussize="0,0"/>
                  <v:stroke on="f"/>
                  <v:imagedata r:id="rId24" o:title=""/>
                  <o:lock v:ext="edit" aspectratio="t"/>
                  <w10:wrap type="square"/>
                </v:shape>
              </w:pict>
            </w:r>
          </w:p>
          <w:p>
            <w:pPr>
              <w:pStyle w:val="28"/>
              <w:spacing w:beforeLines="0" w:afterLines="0" w:line="360" w:lineRule="auto"/>
              <w:ind w:firstLine="0"/>
              <w:jc w:val="center"/>
            </w:pPr>
          </w:p>
          <w:p>
            <w:pPr>
              <w:spacing w:line="360" w:lineRule="auto"/>
              <w:ind w:firstLine="1440" w:firstLineChars="600"/>
              <w:jc w:val="left"/>
              <w:rPr>
                <w:sz w:val="24"/>
              </w:rPr>
            </w:pPr>
            <w:r>
              <w:rPr>
                <w:sz w:val="24"/>
              </w:rPr>
              <w:t>r</w:t>
            </w:r>
            <w:r>
              <w:rPr>
                <w:sz w:val="24"/>
                <w:vertAlign w:val="subscript"/>
              </w:rPr>
              <w:t>0</w:t>
            </w:r>
            <w:r>
              <w:rPr>
                <w:sz w:val="24"/>
              </w:rPr>
              <w:t xml:space="preserve"> ： 参考位置与声源的距离，（m）；</w:t>
            </w:r>
          </w:p>
          <w:p>
            <w:pPr>
              <w:spacing w:line="360" w:lineRule="auto"/>
              <w:ind w:firstLine="1440" w:firstLineChars="600"/>
              <w:jc w:val="left"/>
              <w:rPr>
                <w:sz w:val="24"/>
              </w:rPr>
            </w:pPr>
            <w:r>
              <w:rPr>
                <w:sz w:val="24"/>
              </w:rPr>
              <w:t>r ： 预测点与声源的距离，（m）；</w:t>
            </w:r>
          </w:p>
          <w:p>
            <w:pPr>
              <w:spacing w:line="360" w:lineRule="auto"/>
              <w:ind w:firstLine="1440" w:firstLineChars="600"/>
              <w:jc w:val="left"/>
              <w:rPr>
                <w:sz w:val="24"/>
              </w:rPr>
            </w:pPr>
            <w:r>
              <w:rPr>
                <w:sz w:val="24"/>
              </w:rPr>
              <w:t>Lp(r) ： 声源在预测点处产生的A声级，与L</w:t>
            </w:r>
            <w:r>
              <w:rPr>
                <w:sz w:val="24"/>
                <w:vertAlign w:val="subscript"/>
              </w:rPr>
              <w:t>Ai</w:t>
            </w:r>
            <w:r>
              <w:rPr>
                <w:sz w:val="24"/>
              </w:rPr>
              <w:t>对应，dB(A)；</w:t>
            </w:r>
          </w:p>
          <w:p>
            <w:pPr>
              <w:spacing w:line="360" w:lineRule="auto"/>
              <w:ind w:firstLine="1440" w:firstLineChars="600"/>
              <w:jc w:val="left"/>
              <w:rPr>
                <w:sz w:val="24"/>
              </w:rPr>
            </w:pPr>
            <w:r>
              <w:rPr>
                <w:sz w:val="24"/>
              </w:rPr>
              <w:t>Lp(r</w:t>
            </w:r>
            <w:r>
              <w:rPr>
                <w:sz w:val="24"/>
                <w:vertAlign w:val="subscript"/>
              </w:rPr>
              <w:t>0</w:t>
            </w:r>
            <w:r>
              <w:rPr>
                <w:sz w:val="24"/>
              </w:rPr>
              <w:t>) ： 声源在参考位置处产生的A声级，dB(A)；</w:t>
            </w:r>
          </w:p>
          <w:p>
            <w:pPr>
              <w:pStyle w:val="8"/>
              <w:spacing w:line="360" w:lineRule="auto"/>
              <w:ind w:firstLine="1440" w:firstLineChars="600"/>
              <w:jc w:val="left"/>
              <w:rPr>
                <w:sz w:val="24"/>
              </w:rPr>
            </w:pPr>
            <w:r>
              <w:rPr>
                <w:sz w:val="24"/>
              </w:rPr>
              <w:t>△Lp ： 降噪系数，dB(A)。</w:t>
            </w:r>
          </w:p>
          <w:p>
            <w:pPr>
              <w:pStyle w:val="8"/>
              <w:spacing w:line="360" w:lineRule="auto"/>
              <w:ind w:firstLine="1440" w:firstLineChars="600"/>
              <w:jc w:val="left"/>
              <w:rPr>
                <w:sz w:val="24"/>
                <w:lang w:val="en-CA"/>
              </w:rPr>
            </w:pPr>
            <w:r>
              <w:rPr>
                <w:sz w:val="24"/>
                <w:lang w:val="en-CA"/>
              </w:rPr>
              <w:t>预测点的预测等效声级（Leq）计算公式：</w:t>
            </w:r>
          </w:p>
          <w:p>
            <w:pPr>
              <w:spacing w:line="360" w:lineRule="auto"/>
              <w:jc w:val="center"/>
              <w:rPr>
                <w:sz w:val="24"/>
              </w:rPr>
            </w:pPr>
            <w:r>
              <w:rPr>
                <w:kern w:val="0"/>
                <w:sz w:val="24"/>
              </w:rPr>
              <w:pict>
                <v:shape id="对象 122" o:spid="_x0000_s1080" o:spt="75" type="#_x0000_t75" style="position:absolute;left:0pt;margin-left:119pt;margin-top:3.75pt;height:37.2pt;width:173.25pt;z-index:251659264;mso-width-relative:page;mso-height-relative:page;" filled="f" o:preferrelative="t" stroked="f" coordsize="21600,21600">
                  <v:path/>
                  <v:fill on="f" focussize="0,0"/>
                  <v:stroke on="f"/>
                  <v:imagedata r:id="rId25" o:title=""/>
                  <o:lock v:ext="edit" aspectratio="t"/>
                </v:shape>
              </w:pict>
            </w:r>
          </w:p>
          <w:p>
            <w:pPr>
              <w:spacing w:line="360" w:lineRule="auto"/>
              <w:jc w:val="center"/>
              <w:rPr>
                <w:sz w:val="24"/>
              </w:rPr>
            </w:pPr>
          </w:p>
          <w:p>
            <w:pPr>
              <w:spacing w:line="360" w:lineRule="auto"/>
              <w:ind w:firstLine="1440" w:firstLineChars="600"/>
              <w:jc w:val="left"/>
              <w:rPr>
                <w:sz w:val="24"/>
              </w:rPr>
            </w:pPr>
            <w:r>
              <w:rPr>
                <w:sz w:val="24"/>
              </w:rPr>
              <w:t>Leqg ：建设项目声源在预测点的等效声级贡献值，dB(A)；</w:t>
            </w:r>
          </w:p>
          <w:p>
            <w:pPr>
              <w:spacing w:line="360" w:lineRule="auto"/>
              <w:ind w:firstLine="1440" w:firstLineChars="600"/>
              <w:jc w:val="left"/>
              <w:rPr>
                <w:sz w:val="24"/>
              </w:rPr>
            </w:pPr>
            <w:r>
              <w:rPr>
                <w:sz w:val="24"/>
              </w:rPr>
              <w:t>Leqb ：预测点的背景值，dB(A)。</w:t>
            </w:r>
          </w:p>
          <w:p>
            <w:pPr>
              <w:pStyle w:val="8"/>
              <w:ind w:firstLine="0" w:firstLineChars="0"/>
              <w:jc w:val="center"/>
              <w:rPr>
                <w:b/>
                <w:bCs/>
                <w:sz w:val="24"/>
              </w:rPr>
            </w:pPr>
            <w:r>
              <w:rPr>
                <w:b/>
                <w:bCs/>
                <w:sz w:val="24"/>
              </w:rPr>
              <w:t>表</w:t>
            </w:r>
            <w:r>
              <w:rPr>
                <w:rFonts w:hint="eastAsia"/>
                <w:b/>
                <w:bCs/>
                <w:sz w:val="24"/>
              </w:rPr>
              <w:t>4</w:t>
            </w:r>
            <w:r>
              <w:rPr>
                <w:b/>
                <w:bCs/>
                <w:sz w:val="24"/>
              </w:rPr>
              <w:t>-</w:t>
            </w:r>
            <w:r>
              <w:rPr>
                <w:rFonts w:hint="eastAsia"/>
                <w:b/>
                <w:bCs/>
                <w:sz w:val="24"/>
                <w:lang w:val="en-US" w:eastAsia="zh-CN"/>
              </w:rPr>
              <w:t>5</w:t>
            </w:r>
            <w:r>
              <w:rPr>
                <w:b/>
                <w:bCs/>
                <w:sz w:val="24"/>
              </w:rPr>
              <w:t xml:space="preserve">  项目设备</w:t>
            </w:r>
            <w:r>
              <w:rPr>
                <w:rFonts w:hint="eastAsia"/>
                <w:b/>
                <w:bCs/>
                <w:sz w:val="24"/>
              </w:rPr>
              <w:t>距各厂界、各预测点距离一览</w:t>
            </w:r>
            <w:r>
              <w:rPr>
                <w:b/>
                <w:bCs/>
                <w:sz w:val="24"/>
              </w:rPr>
              <w:t>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495"/>
              <w:gridCol w:w="600"/>
              <w:gridCol w:w="600"/>
              <w:gridCol w:w="495"/>
              <w:gridCol w:w="837"/>
              <w:gridCol w:w="837"/>
              <w:gridCol w:w="837"/>
              <w:gridCol w:w="960"/>
              <w:gridCol w:w="1251"/>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tcMar>
                    <w:top w:w="0" w:type="dxa"/>
                    <w:left w:w="11" w:type="dxa"/>
                    <w:bottom w:w="0" w:type="dxa"/>
                    <w:right w:w="11" w:type="dxa"/>
                  </w:tcMar>
                  <w:vAlign w:val="center"/>
                </w:tcPr>
                <w:p>
                  <w:pPr>
                    <w:spacing w:line="360" w:lineRule="exact"/>
                    <w:jc w:val="center"/>
                    <w:rPr>
                      <w:b/>
                      <w:bCs/>
                      <w:szCs w:val="21"/>
                    </w:rPr>
                  </w:pPr>
                  <w:r>
                    <w:rPr>
                      <w:b/>
                      <w:bCs/>
                      <w:szCs w:val="21"/>
                    </w:rPr>
                    <w:t>设备</w:t>
                  </w:r>
                </w:p>
              </w:tc>
              <w:tc>
                <w:tcPr>
                  <w:tcW w:w="0" w:type="auto"/>
                  <w:gridSpan w:val="9"/>
                  <w:tcMar>
                    <w:top w:w="0" w:type="dxa"/>
                    <w:left w:w="11" w:type="dxa"/>
                    <w:bottom w:w="0" w:type="dxa"/>
                    <w:right w:w="11" w:type="dxa"/>
                  </w:tcMar>
                  <w:vAlign w:val="center"/>
                </w:tcPr>
                <w:p>
                  <w:pPr>
                    <w:spacing w:line="360" w:lineRule="exact"/>
                    <w:jc w:val="center"/>
                    <w:rPr>
                      <w:b/>
                      <w:bCs/>
                      <w:szCs w:val="21"/>
                    </w:rPr>
                  </w:pPr>
                  <w:r>
                    <w:rPr>
                      <w:b/>
                      <w:bCs/>
                      <w:szCs w:val="21"/>
                    </w:rPr>
                    <w:t>设备距各</w:t>
                  </w:r>
                  <w:r>
                    <w:rPr>
                      <w:rFonts w:hint="eastAsia"/>
                      <w:b/>
                      <w:bCs/>
                      <w:szCs w:val="21"/>
                    </w:rPr>
                    <w:t>厂界、各预测点</w:t>
                  </w:r>
                  <w:r>
                    <w:rPr>
                      <w:b/>
                      <w:bCs/>
                      <w:szCs w:val="21"/>
                    </w:rPr>
                    <w:t>距离（m）</w:t>
                  </w:r>
                </w:p>
              </w:tc>
              <w:tc>
                <w:tcPr>
                  <w:tcW w:w="0" w:type="auto"/>
                  <w:vMerge w:val="restart"/>
                  <w:tcMar>
                    <w:top w:w="0" w:type="dxa"/>
                    <w:left w:w="11" w:type="dxa"/>
                    <w:bottom w:w="0" w:type="dxa"/>
                    <w:right w:w="11" w:type="dxa"/>
                  </w:tcMar>
                  <w:vAlign w:val="center"/>
                </w:tcPr>
                <w:p>
                  <w:pPr>
                    <w:spacing w:line="360" w:lineRule="exact"/>
                    <w:jc w:val="center"/>
                    <w:rPr>
                      <w:b/>
                      <w:bCs/>
                      <w:szCs w:val="21"/>
                    </w:rPr>
                  </w:pPr>
                  <w:r>
                    <w:rPr>
                      <w:b/>
                      <w:bCs/>
                      <w:szCs w:val="21"/>
                    </w:rPr>
                    <w:t>T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tcMar>
                    <w:top w:w="0" w:type="dxa"/>
                    <w:left w:w="11" w:type="dxa"/>
                    <w:bottom w:w="0" w:type="dxa"/>
                    <w:right w:w="11" w:type="dxa"/>
                  </w:tcMar>
                  <w:vAlign w:val="center"/>
                </w:tcPr>
                <w:p>
                  <w:pPr>
                    <w:spacing w:line="360" w:lineRule="exact"/>
                    <w:rPr>
                      <w:b/>
                      <w:bCs/>
                      <w:szCs w:val="21"/>
                    </w:rPr>
                  </w:pPr>
                </w:p>
              </w:tc>
              <w:tc>
                <w:tcPr>
                  <w:tcW w:w="0" w:type="auto"/>
                  <w:tcMar>
                    <w:top w:w="0" w:type="dxa"/>
                    <w:left w:w="11" w:type="dxa"/>
                    <w:bottom w:w="0" w:type="dxa"/>
                    <w:right w:w="11" w:type="dxa"/>
                  </w:tcMar>
                  <w:vAlign w:val="center"/>
                </w:tcPr>
                <w:p>
                  <w:pPr>
                    <w:spacing w:line="360" w:lineRule="exact"/>
                    <w:jc w:val="center"/>
                    <w:rPr>
                      <w:b/>
                      <w:bCs/>
                      <w:szCs w:val="21"/>
                    </w:rPr>
                  </w:pPr>
                  <w:r>
                    <w:rPr>
                      <w:b/>
                      <w:bCs/>
                      <w:szCs w:val="21"/>
                    </w:rPr>
                    <w:t>东</w:t>
                  </w:r>
                </w:p>
              </w:tc>
              <w:tc>
                <w:tcPr>
                  <w:tcW w:w="0" w:type="auto"/>
                  <w:tcMar>
                    <w:top w:w="0" w:type="dxa"/>
                    <w:left w:w="11" w:type="dxa"/>
                    <w:bottom w:w="0" w:type="dxa"/>
                    <w:right w:w="11" w:type="dxa"/>
                  </w:tcMar>
                  <w:vAlign w:val="center"/>
                </w:tcPr>
                <w:p>
                  <w:pPr>
                    <w:spacing w:line="360" w:lineRule="exact"/>
                    <w:jc w:val="center"/>
                    <w:rPr>
                      <w:b/>
                      <w:bCs/>
                      <w:szCs w:val="21"/>
                    </w:rPr>
                  </w:pPr>
                  <w:r>
                    <w:rPr>
                      <w:b/>
                      <w:bCs/>
                      <w:szCs w:val="21"/>
                    </w:rPr>
                    <w:t>南</w:t>
                  </w:r>
                </w:p>
              </w:tc>
              <w:tc>
                <w:tcPr>
                  <w:tcW w:w="0" w:type="auto"/>
                  <w:tcMar>
                    <w:top w:w="0" w:type="dxa"/>
                    <w:left w:w="11" w:type="dxa"/>
                    <w:bottom w:w="0" w:type="dxa"/>
                    <w:right w:w="11" w:type="dxa"/>
                  </w:tcMar>
                  <w:vAlign w:val="center"/>
                </w:tcPr>
                <w:p>
                  <w:pPr>
                    <w:spacing w:line="360" w:lineRule="exact"/>
                    <w:jc w:val="center"/>
                    <w:rPr>
                      <w:b/>
                      <w:bCs/>
                      <w:szCs w:val="21"/>
                    </w:rPr>
                  </w:pPr>
                  <w:r>
                    <w:rPr>
                      <w:b/>
                      <w:bCs/>
                      <w:szCs w:val="21"/>
                    </w:rPr>
                    <w:t>西</w:t>
                  </w:r>
                </w:p>
              </w:tc>
              <w:tc>
                <w:tcPr>
                  <w:tcW w:w="0" w:type="auto"/>
                  <w:tcMar>
                    <w:top w:w="0" w:type="dxa"/>
                    <w:left w:w="11" w:type="dxa"/>
                    <w:bottom w:w="0" w:type="dxa"/>
                    <w:right w:w="11" w:type="dxa"/>
                  </w:tcMar>
                  <w:vAlign w:val="center"/>
                </w:tcPr>
                <w:p>
                  <w:pPr>
                    <w:spacing w:line="360" w:lineRule="exact"/>
                    <w:jc w:val="center"/>
                    <w:rPr>
                      <w:b/>
                      <w:bCs/>
                      <w:szCs w:val="21"/>
                    </w:rPr>
                  </w:pPr>
                  <w:r>
                    <w:rPr>
                      <w:b/>
                      <w:bCs/>
                      <w:szCs w:val="21"/>
                    </w:rPr>
                    <w:t>北</w:t>
                  </w:r>
                </w:p>
              </w:tc>
              <w:tc>
                <w:tcPr>
                  <w:tcW w:w="0" w:type="auto"/>
                  <w:tcMar>
                    <w:top w:w="0" w:type="dxa"/>
                    <w:left w:w="11" w:type="dxa"/>
                    <w:bottom w:w="0" w:type="dxa"/>
                    <w:right w:w="11" w:type="dxa"/>
                  </w:tcMar>
                  <w:vAlign w:val="center"/>
                </w:tcPr>
                <w:p>
                  <w:pPr>
                    <w:spacing w:line="360" w:lineRule="exact"/>
                    <w:jc w:val="center"/>
                    <w:rPr>
                      <w:b/>
                      <w:bCs/>
                      <w:szCs w:val="21"/>
                    </w:rPr>
                  </w:pPr>
                  <w:r>
                    <w:rPr>
                      <w:rFonts w:hint="eastAsia"/>
                      <w:b/>
                      <w:bCs/>
                      <w:szCs w:val="21"/>
                    </w:rPr>
                    <w:t>1#</w:t>
                  </w:r>
                </w:p>
                <w:p>
                  <w:pPr>
                    <w:spacing w:line="360" w:lineRule="exact"/>
                    <w:jc w:val="center"/>
                    <w:rPr>
                      <w:b/>
                      <w:bCs/>
                      <w:szCs w:val="21"/>
                    </w:rPr>
                  </w:pPr>
                  <w:r>
                    <w:rPr>
                      <w:rFonts w:hint="eastAsia"/>
                      <w:b/>
                      <w:bCs/>
                      <w:szCs w:val="21"/>
                    </w:rPr>
                    <w:t>学生宿舍楼</w:t>
                  </w:r>
                </w:p>
              </w:tc>
              <w:tc>
                <w:tcPr>
                  <w:tcW w:w="0" w:type="auto"/>
                  <w:tcMar>
                    <w:top w:w="0" w:type="dxa"/>
                    <w:left w:w="11" w:type="dxa"/>
                    <w:bottom w:w="0" w:type="dxa"/>
                    <w:right w:w="11" w:type="dxa"/>
                  </w:tcMar>
                  <w:vAlign w:val="center"/>
                </w:tcPr>
                <w:p>
                  <w:pPr>
                    <w:spacing w:line="360" w:lineRule="exact"/>
                    <w:jc w:val="center"/>
                    <w:rPr>
                      <w:b/>
                      <w:bCs/>
                      <w:szCs w:val="21"/>
                    </w:rPr>
                  </w:pPr>
                  <w:r>
                    <w:rPr>
                      <w:rFonts w:hint="eastAsia"/>
                      <w:b/>
                      <w:bCs/>
                      <w:szCs w:val="21"/>
                    </w:rPr>
                    <w:t>2#</w:t>
                  </w:r>
                </w:p>
                <w:p>
                  <w:pPr>
                    <w:spacing w:line="360" w:lineRule="exact"/>
                    <w:jc w:val="center"/>
                    <w:rPr>
                      <w:b/>
                      <w:bCs/>
                      <w:szCs w:val="21"/>
                    </w:rPr>
                  </w:pPr>
                  <w:r>
                    <w:rPr>
                      <w:rFonts w:hint="eastAsia"/>
                      <w:b/>
                      <w:bCs/>
                      <w:szCs w:val="21"/>
                    </w:rPr>
                    <w:t>学生宿舍楼</w:t>
                  </w:r>
                </w:p>
              </w:tc>
              <w:tc>
                <w:tcPr>
                  <w:tcW w:w="0" w:type="auto"/>
                  <w:tcMar>
                    <w:top w:w="0" w:type="dxa"/>
                    <w:left w:w="11" w:type="dxa"/>
                    <w:bottom w:w="0" w:type="dxa"/>
                    <w:right w:w="11" w:type="dxa"/>
                  </w:tcMar>
                  <w:vAlign w:val="center"/>
                </w:tcPr>
                <w:p>
                  <w:pPr>
                    <w:spacing w:line="360" w:lineRule="exact"/>
                    <w:jc w:val="center"/>
                    <w:rPr>
                      <w:b/>
                      <w:bCs/>
                      <w:szCs w:val="21"/>
                    </w:rPr>
                  </w:pPr>
                  <w:r>
                    <w:rPr>
                      <w:rFonts w:hint="eastAsia"/>
                      <w:b/>
                      <w:bCs/>
                      <w:szCs w:val="21"/>
                    </w:rPr>
                    <w:t>教工公寓楼</w:t>
                  </w:r>
                </w:p>
              </w:tc>
              <w:tc>
                <w:tcPr>
                  <w:tcW w:w="0" w:type="auto"/>
                  <w:tcMar>
                    <w:top w:w="0" w:type="dxa"/>
                    <w:left w:w="11" w:type="dxa"/>
                    <w:bottom w:w="0" w:type="dxa"/>
                    <w:right w:w="11" w:type="dxa"/>
                  </w:tcMar>
                  <w:vAlign w:val="center"/>
                </w:tcPr>
                <w:p>
                  <w:pPr>
                    <w:spacing w:line="360" w:lineRule="exact"/>
                    <w:jc w:val="center"/>
                    <w:rPr>
                      <w:b/>
                      <w:bCs/>
                      <w:szCs w:val="21"/>
                    </w:rPr>
                  </w:pPr>
                  <w:r>
                    <w:rPr>
                      <w:rFonts w:hint="eastAsia"/>
                      <w:b/>
                      <w:bCs/>
                      <w:szCs w:val="21"/>
                    </w:rPr>
                    <w:t>蕉充村居委会</w:t>
                  </w:r>
                </w:p>
              </w:tc>
              <w:tc>
                <w:tcPr>
                  <w:tcW w:w="0" w:type="auto"/>
                  <w:tcMar>
                    <w:top w:w="0" w:type="dxa"/>
                    <w:left w:w="11" w:type="dxa"/>
                    <w:bottom w:w="0" w:type="dxa"/>
                    <w:right w:w="11" w:type="dxa"/>
                  </w:tcMar>
                  <w:vAlign w:val="center"/>
                </w:tcPr>
                <w:p>
                  <w:pPr>
                    <w:spacing w:line="360" w:lineRule="exact"/>
                    <w:jc w:val="center"/>
                    <w:rPr>
                      <w:b/>
                      <w:bCs/>
                      <w:szCs w:val="21"/>
                    </w:rPr>
                  </w:pPr>
                  <w:r>
                    <w:rPr>
                      <w:rFonts w:hint="eastAsia"/>
                      <w:b/>
                      <w:bCs/>
                      <w:szCs w:val="21"/>
                    </w:rPr>
                    <w:t>蕉充安置小区一期</w:t>
                  </w:r>
                </w:p>
              </w:tc>
              <w:tc>
                <w:tcPr>
                  <w:tcW w:w="0" w:type="auto"/>
                  <w:vMerge w:val="continue"/>
                  <w:tcMar>
                    <w:top w:w="0" w:type="dxa"/>
                    <w:left w:w="11" w:type="dxa"/>
                    <w:bottom w:w="0" w:type="dxa"/>
                    <w:right w:w="11" w:type="dxa"/>
                  </w:tcMar>
                  <w:vAlign w:val="center"/>
                </w:tcPr>
                <w:p>
                  <w:pPr>
                    <w:spacing w:line="36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Mar>
                    <w:top w:w="0" w:type="dxa"/>
                    <w:left w:w="11" w:type="dxa"/>
                    <w:bottom w:w="0" w:type="dxa"/>
                    <w:right w:w="11" w:type="dxa"/>
                  </w:tcMar>
                  <w:vAlign w:val="center"/>
                </w:tcPr>
                <w:p>
                  <w:pPr>
                    <w:widowControl/>
                    <w:spacing w:line="360" w:lineRule="exact"/>
                    <w:jc w:val="center"/>
                    <w:rPr>
                      <w:b/>
                      <w:bCs/>
                      <w:szCs w:val="21"/>
                    </w:rPr>
                  </w:pPr>
                  <w:r>
                    <w:rPr>
                      <w:rFonts w:hint="eastAsia"/>
                      <w:szCs w:val="21"/>
                    </w:rPr>
                    <w:t>食堂厨房风机</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35.21</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144.74</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123.74</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10.14</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24.52</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52.71</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45.59</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29.46</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144.74</w:t>
                  </w:r>
                </w:p>
              </w:tc>
              <w:tc>
                <w:tcPr>
                  <w:tcW w:w="0" w:type="auto"/>
                  <w:vMerge w:val="restart"/>
                  <w:tcMar>
                    <w:top w:w="0" w:type="dxa"/>
                    <w:left w:w="11" w:type="dxa"/>
                    <w:bottom w:w="0" w:type="dxa"/>
                    <w:right w:w="11" w:type="dxa"/>
                  </w:tcMar>
                  <w:vAlign w:val="center"/>
                </w:tcPr>
                <w:p>
                  <w:pPr>
                    <w:spacing w:line="360" w:lineRule="exact"/>
                    <w:jc w:val="center"/>
                    <w:rPr>
                      <w:szCs w:val="21"/>
                    </w:rPr>
                  </w:pPr>
                  <w:r>
                    <w:rPr>
                      <w:szCs w:val="21"/>
                    </w:rPr>
                    <w:t>昼：16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Mar>
                    <w:top w:w="0" w:type="dxa"/>
                    <w:left w:w="11" w:type="dxa"/>
                    <w:bottom w:w="0" w:type="dxa"/>
                    <w:right w:w="11" w:type="dxa"/>
                  </w:tcMar>
                  <w:vAlign w:val="center"/>
                </w:tcPr>
                <w:p>
                  <w:pPr>
                    <w:widowControl/>
                    <w:spacing w:line="360" w:lineRule="exact"/>
                    <w:jc w:val="center"/>
                    <w:rPr>
                      <w:b/>
                      <w:bCs/>
                      <w:szCs w:val="21"/>
                    </w:rPr>
                  </w:pPr>
                  <w:r>
                    <w:rPr>
                      <w:rFonts w:hint="eastAsia"/>
                      <w:szCs w:val="21"/>
                    </w:rPr>
                    <w:t>地下车库风机</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11.0</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119.6</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160.0</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33.8</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44.7</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50.3</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26.2</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54.2</w:t>
                  </w:r>
                </w:p>
              </w:tc>
              <w:tc>
                <w:tcPr>
                  <w:tcW w:w="0" w:type="auto"/>
                  <w:tcMar>
                    <w:top w:w="0" w:type="dxa"/>
                    <w:left w:w="11" w:type="dxa"/>
                    <w:bottom w:w="0" w:type="dxa"/>
                    <w:right w:w="11" w:type="dxa"/>
                  </w:tcMar>
                  <w:vAlign w:val="center"/>
                </w:tcPr>
                <w:p>
                  <w:pPr>
                    <w:spacing w:line="360" w:lineRule="exact"/>
                    <w:jc w:val="center"/>
                    <w:rPr>
                      <w:szCs w:val="21"/>
                    </w:rPr>
                  </w:pPr>
                  <w:r>
                    <w:rPr>
                      <w:rFonts w:hint="eastAsia"/>
                      <w:szCs w:val="21"/>
                    </w:rPr>
                    <w:t>119.6</w:t>
                  </w:r>
                </w:p>
              </w:tc>
              <w:tc>
                <w:tcPr>
                  <w:tcW w:w="0" w:type="auto"/>
                  <w:vMerge w:val="continue"/>
                  <w:tcMar>
                    <w:top w:w="0" w:type="dxa"/>
                    <w:left w:w="11" w:type="dxa"/>
                    <w:bottom w:w="0" w:type="dxa"/>
                    <w:right w:w="11" w:type="dxa"/>
                  </w:tcMar>
                  <w:vAlign w:val="center"/>
                </w:tcPr>
                <w:p>
                  <w:pPr>
                    <w:spacing w:line="360" w:lineRule="exact"/>
                    <w:jc w:val="center"/>
                    <w:rPr>
                      <w:szCs w:val="21"/>
                    </w:rPr>
                  </w:pPr>
                </w:p>
              </w:tc>
            </w:tr>
          </w:tbl>
          <w:p>
            <w:pPr>
              <w:pStyle w:val="18"/>
              <w:adjustRightInd w:val="0"/>
              <w:snapToGrid w:val="0"/>
              <w:spacing w:after="0" w:line="240" w:lineRule="auto"/>
              <w:jc w:val="center"/>
              <w:rPr>
                <w:b/>
                <w:kern w:val="0"/>
                <w:sz w:val="24"/>
                <w:lang w:val="zh-CN"/>
              </w:rPr>
            </w:pPr>
          </w:p>
          <w:p>
            <w:pPr>
              <w:pStyle w:val="18"/>
              <w:adjustRightInd w:val="0"/>
              <w:snapToGrid w:val="0"/>
              <w:spacing w:after="0" w:line="240" w:lineRule="auto"/>
              <w:jc w:val="center"/>
              <w:rPr>
                <w:b/>
                <w:kern w:val="0"/>
                <w:sz w:val="24"/>
              </w:rPr>
            </w:pPr>
            <w:r>
              <w:rPr>
                <w:b/>
                <w:kern w:val="0"/>
                <w:sz w:val="24"/>
                <w:lang w:val="zh-CN"/>
              </w:rPr>
              <w:t>表</w:t>
            </w:r>
            <w:r>
              <w:rPr>
                <w:b/>
                <w:kern w:val="0"/>
                <w:sz w:val="24"/>
              </w:rPr>
              <w:t>4-</w:t>
            </w:r>
            <w:r>
              <w:rPr>
                <w:rFonts w:hint="eastAsia"/>
                <w:b/>
                <w:kern w:val="0"/>
                <w:sz w:val="24"/>
                <w:lang w:val="en-US" w:eastAsia="zh-CN"/>
              </w:rPr>
              <w:t>6</w:t>
            </w:r>
            <w:r>
              <w:rPr>
                <w:b/>
                <w:kern w:val="0"/>
                <w:sz w:val="24"/>
                <w:lang w:val="zh-CN"/>
              </w:rPr>
              <w:t xml:space="preserve">  噪声值预测结果（</w:t>
            </w:r>
            <w:r>
              <w:rPr>
                <w:b/>
                <w:kern w:val="0"/>
                <w:sz w:val="24"/>
              </w:rPr>
              <w:t>昼间噪声） 单位：</w:t>
            </w:r>
            <w:r>
              <w:rPr>
                <w:b/>
                <w:sz w:val="24"/>
              </w:rPr>
              <w:t>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325"/>
              <w:gridCol w:w="1359"/>
              <w:gridCol w:w="1217"/>
              <w:gridCol w:w="1319"/>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tabs>
                      <w:tab w:val="left" w:pos="825"/>
                    </w:tabs>
                    <w:adjustRightInd w:val="0"/>
                    <w:snapToGrid w:val="0"/>
                    <w:jc w:val="center"/>
                    <w:rPr>
                      <w:b/>
                      <w:bCs/>
                    </w:rPr>
                  </w:pPr>
                  <w:r>
                    <w:rPr>
                      <w:rFonts w:hint="eastAsia"/>
                      <w:b/>
                      <w:bCs/>
                    </w:rPr>
                    <w:t>预测点位</w:t>
                  </w:r>
                </w:p>
              </w:tc>
              <w:tc>
                <w:tcPr>
                  <w:tcW w:w="796" w:type="pct"/>
                  <w:vAlign w:val="center"/>
                </w:tcPr>
                <w:p>
                  <w:pPr>
                    <w:tabs>
                      <w:tab w:val="left" w:pos="825"/>
                    </w:tabs>
                    <w:adjustRightInd w:val="0"/>
                    <w:snapToGrid w:val="0"/>
                    <w:jc w:val="center"/>
                    <w:rPr>
                      <w:b/>
                      <w:bCs/>
                    </w:rPr>
                  </w:pPr>
                  <w:r>
                    <w:rPr>
                      <w:rFonts w:hint="eastAsia"/>
                      <w:b/>
                      <w:bCs/>
                    </w:rPr>
                    <w:t>贡献值</w:t>
                  </w:r>
                </w:p>
              </w:tc>
              <w:tc>
                <w:tcPr>
                  <w:tcW w:w="816" w:type="pct"/>
                  <w:vAlign w:val="center"/>
                </w:tcPr>
                <w:p>
                  <w:pPr>
                    <w:autoSpaceDE w:val="0"/>
                    <w:autoSpaceDN w:val="0"/>
                    <w:adjustRightInd w:val="0"/>
                    <w:snapToGrid w:val="0"/>
                    <w:jc w:val="center"/>
                    <w:rPr>
                      <w:b/>
                      <w:bCs/>
                    </w:rPr>
                  </w:pPr>
                  <w:r>
                    <w:rPr>
                      <w:rFonts w:hint="eastAsia"/>
                      <w:b/>
                      <w:bCs/>
                    </w:rPr>
                    <w:t>背景</w:t>
                  </w:r>
                </w:p>
                <w:p>
                  <w:pPr>
                    <w:autoSpaceDE w:val="0"/>
                    <w:autoSpaceDN w:val="0"/>
                    <w:adjustRightInd w:val="0"/>
                    <w:snapToGrid w:val="0"/>
                    <w:jc w:val="center"/>
                    <w:rPr>
                      <w:b/>
                      <w:bCs/>
                    </w:rPr>
                  </w:pPr>
                  <w:r>
                    <w:rPr>
                      <w:rFonts w:hint="eastAsia"/>
                      <w:b/>
                      <w:bCs/>
                    </w:rPr>
                    <w:t>监测值</w:t>
                  </w:r>
                </w:p>
              </w:tc>
              <w:tc>
                <w:tcPr>
                  <w:tcW w:w="731" w:type="pct"/>
                  <w:vAlign w:val="center"/>
                </w:tcPr>
                <w:p>
                  <w:pPr>
                    <w:tabs>
                      <w:tab w:val="left" w:pos="825"/>
                    </w:tabs>
                    <w:adjustRightInd w:val="0"/>
                    <w:snapToGrid w:val="0"/>
                    <w:jc w:val="center"/>
                    <w:rPr>
                      <w:b/>
                      <w:bCs/>
                    </w:rPr>
                  </w:pPr>
                  <w:r>
                    <w:rPr>
                      <w:rFonts w:hint="eastAsia"/>
                      <w:b/>
                      <w:bCs/>
                    </w:rPr>
                    <w:t>预测值</w:t>
                  </w:r>
                </w:p>
              </w:tc>
              <w:tc>
                <w:tcPr>
                  <w:tcW w:w="792" w:type="pct"/>
                  <w:vAlign w:val="center"/>
                </w:tcPr>
                <w:p>
                  <w:pPr>
                    <w:autoSpaceDE w:val="0"/>
                    <w:autoSpaceDN w:val="0"/>
                    <w:adjustRightInd w:val="0"/>
                    <w:snapToGrid w:val="0"/>
                    <w:jc w:val="center"/>
                    <w:rPr>
                      <w:b/>
                      <w:bCs/>
                    </w:rPr>
                  </w:pPr>
                  <w:r>
                    <w:rPr>
                      <w:rFonts w:hint="eastAsia"/>
                      <w:b/>
                      <w:bCs/>
                    </w:rPr>
                    <w:t>标准值</w:t>
                  </w:r>
                </w:p>
              </w:tc>
              <w:tc>
                <w:tcPr>
                  <w:tcW w:w="647" w:type="pct"/>
                  <w:vAlign w:val="center"/>
                </w:tcPr>
                <w:p>
                  <w:pPr>
                    <w:autoSpaceDE w:val="0"/>
                    <w:autoSpaceDN w:val="0"/>
                    <w:adjustRightInd w:val="0"/>
                    <w:snapToGrid w:val="0"/>
                    <w:jc w:val="center"/>
                    <w:rPr>
                      <w:b/>
                      <w:bCs/>
                    </w:rPr>
                  </w:pPr>
                  <w:r>
                    <w:rPr>
                      <w:rFonts w:hint="eastAsia"/>
                      <w:b/>
                      <w:bCs/>
                    </w:rPr>
                    <w:t>达标</w:t>
                  </w:r>
                </w:p>
                <w:p>
                  <w:pPr>
                    <w:autoSpaceDE w:val="0"/>
                    <w:autoSpaceDN w:val="0"/>
                    <w:adjustRightInd w:val="0"/>
                    <w:snapToGrid w:val="0"/>
                    <w:jc w:val="center"/>
                    <w:rPr>
                      <w:b/>
                      <w:bCs/>
                    </w:rPr>
                  </w:pPr>
                  <w:r>
                    <w:rPr>
                      <w:rFonts w:hint="eastAsia"/>
                      <w:b/>
                      <w:bCs/>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16" w:type="pct"/>
                  <w:vAlign w:val="center"/>
                </w:tcPr>
                <w:p>
                  <w:pPr>
                    <w:adjustRightInd w:val="0"/>
                    <w:snapToGrid w:val="0"/>
                    <w:jc w:val="center"/>
                    <w:rPr>
                      <w:kern w:val="0"/>
                    </w:rPr>
                  </w:pPr>
                  <w:r>
                    <w:rPr>
                      <w:kern w:val="0"/>
                    </w:rPr>
                    <w:t>1#</w:t>
                  </w:r>
                  <w:r>
                    <w:rPr>
                      <w:rFonts w:hint="eastAsia"/>
                      <w:kern w:val="0"/>
                    </w:rPr>
                    <w:t>（</w:t>
                  </w:r>
                  <w:r>
                    <w:rPr>
                      <w:rFonts w:hint="eastAsia"/>
                    </w:rPr>
                    <w:t>厂界东</w:t>
                  </w:r>
                  <w:r>
                    <w:rPr>
                      <w:rFonts w:hint="eastAsia"/>
                      <w:kern w:val="0"/>
                    </w:rPr>
                    <w:t>）</w:t>
                  </w:r>
                </w:p>
              </w:tc>
              <w:tc>
                <w:tcPr>
                  <w:tcW w:w="796" w:type="pct"/>
                  <w:vAlign w:val="center"/>
                </w:tcPr>
                <w:p>
                  <w:pPr>
                    <w:adjustRightInd w:val="0"/>
                    <w:snapToGrid w:val="0"/>
                    <w:jc w:val="center"/>
                    <w:rPr>
                      <w:kern w:val="0"/>
                    </w:rPr>
                  </w:pPr>
                  <w:r>
                    <w:rPr>
                      <w:rFonts w:hint="eastAsia"/>
                      <w:kern w:val="0"/>
                    </w:rPr>
                    <w:t>49.6</w:t>
                  </w:r>
                </w:p>
              </w:tc>
              <w:tc>
                <w:tcPr>
                  <w:tcW w:w="816" w:type="pct"/>
                  <w:vAlign w:val="center"/>
                </w:tcPr>
                <w:p>
                  <w:pPr>
                    <w:adjustRightInd w:val="0"/>
                    <w:snapToGrid w:val="0"/>
                    <w:jc w:val="center"/>
                  </w:pPr>
                  <w:r>
                    <w:rPr>
                      <w:rFonts w:hint="eastAsia"/>
                    </w:rPr>
                    <w:t>50.5</w:t>
                  </w:r>
                </w:p>
              </w:tc>
              <w:tc>
                <w:tcPr>
                  <w:tcW w:w="731" w:type="pct"/>
                  <w:vAlign w:val="center"/>
                </w:tcPr>
                <w:p>
                  <w:pPr>
                    <w:adjustRightInd w:val="0"/>
                    <w:snapToGrid w:val="0"/>
                    <w:jc w:val="center"/>
                  </w:pPr>
                  <w:r>
                    <w:rPr>
                      <w:rFonts w:hint="eastAsia"/>
                    </w:rPr>
                    <w:t>--</w:t>
                  </w:r>
                </w:p>
              </w:tc>
              <w:tc>
                <w:tcPr>
                  <w:tcW w:w="792" w:type="pct"/>
                  <w:vMerge w:val="restart"/>
                  <w:vAlign w:val="center"/>
                </w:tcPr>
                <w:p>
                  <w:pPr>
                    <w:adjustRightInd w:val="0"/>
                    <w:snapToGrid w:val="0"/>
                    <w:jc w:val="center"/>
                    <w:rPr>
                      <w:kern w:val="0"/>
                    </w:rPr>
                  </w:pPr>
                  <w:r>
                    <w:rPr>
                      <w:rFonts w:hint="eastAsia"/>
                      <w:kern w:val="0"/>
                    </w:rPr>
                    <w:t>昼间：70</w:t>
                  </w: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kern w:val="0"/>
                    </w:rPr>
                    <w:t>2#</w:t>
                  </w:r>
                  <w:r>
                    <w:rPr>
                      <w:rFonts w:hint="eastAsia"/>
                      <w:kern w:val="0"/>
                    </w:rPr>
                    <w:t>（</w:t>
                  </w:r>
                  <w:r>
                    <w:rPr>
                      <w:rFonts w:hint="eastAsia"/>
                    </w:rPr>
                    <w:t>厂</w:t>
                  </w:r>
                  <w:r>
                    <w:rPr>
                      <w:rFonts w:hint="eastAsia"/>
                      <w:kern w:val="0"/>
                    </w:rPr>
                    <w:t>界西）</w:t>
                  </w:r>
                </w:p>
              </w:tc>
              <w:tc>
                <w:tcPr>
                  <w:tcW w:w="796" w:type="pct"/>
                  <w:vAlign w:val="center"/>
                </w:tcPr>
                <w:p>
                  <w:pPr>
                    <w:adjustRightInd w:val="0"/>
                    <w:snapToGrid w:val="0"/>
                    <w:jc w:val="center"/>
                    <w:rPr>
                      <w:kern w:val="0"/>
                    </w:rPr>
                  </w:pPr>
                  <w:r>
                    <w:rPr>
                      <w:rFonts w:hint="eastAsia"/>
                      <w:kern w:val="0"/>
                    </w:rPr>
                    <w:t>30.2</w:t>
                  </w:r>
                </w:p>
              </w:tc>
              <w:tc>
                <w:tcPr>
                  <w:tcW w:w="816" w:type="pct"/>
                  <w:vAlign w:val="center"/>
                </w:tcPr>
                <w:p>
                  <w:pPr>
                    <w:adjustRightInd w:val="0"/>
                    <w:snapToGrid w:val="0"/>
                    <w:jc w:val="center"/>
                  </w:pPr>
                  <w:r>
                    <w:rPr>
                      <w:rFonts w:hint="eastAsia"/>
                    </w:rPr>
                    <w:t>53.7</w:t>
                  </w:r>
                </w:p>
              </w:tc>
              <w:tc>
                <w:tcPr>
                  <w:tcW w:w="731" w:type="pct"/>
                  <w:vAlign w:val="center"/>
                </w:tcPr>
                <w:p>
                  <w:pPr>
                    <w:adjustRightInd w:val="0"/>
                    <w:snapToGrid w:val="0"/>
                    <w:jc w:val="center"/>
                  </w:pPr>
                  <w:r>
                    <w:rPr>
                      <w:rFonts w:hint="eastAsia"/>
                    </w:rPr>
                    <w:t>--</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kern w:val="0"/>
                    </w:rPr>
                    <w:t>3#</w:t>
                  </w:r>
                  <w:r>
                    <w:rPr>
                      <w:rFonts w:hint="eastAsia"/>
                      <w:kern w:val="0"/>
                    </w:rPr>
                    <w:t>（</w:t>
                  </w:r>
                  <w:r>
                    <w:rPr>
                      <w:rFonts w:hint="eastAsia"/>
                    </w:rPr>
                    <w:t>厂</w:t>
                  </w:r>
                  <w:r>
                    <w:rPr>
                      <w:rFonts w:hint="eastAsia"/>
                      <w:kern w:val="0"/>
                    </w:rPr>
                    <w:t>界北）</w:t>
                  </w:r>
                </w:p>
              </w:tc>
              <w:tc>
                <w:tcPr>
                  <w:tcW w:w="796" w:type="pct"/>
                  <w:vAlign w:val="center"/>
                </w:tcPr>
                <w:p>
                  <w:pPr>
                    <w:adjustRightInd w:val="0"/>
                    <w:snapToGrid w:val="0"/>
                    <w:jc w:val="center"/>
                    <w:rPr>
                      <w:kern w:val="0"/>
                    </w:rPr>
                  </w:pPr>
                  <w:r>
                    <w:rPr>
                      <w:rFonts w:hint="eastAsia"/>
                      <w:kern w:val="0"/>
                    </w:rPr>
                    <w:t>50.3</w:t>
                  </w:r>
                </w:p>
              </w:tc>
              <w:tc>
                <w:tcPr>
                  <w:tcW w:w="816" w:type="pct"/>
                  <w:vAlign w:val="center"/>
                </w:tcPr>
                <w:p>
                  <w:pPr>
                    <w:adjustRightInd w:val="0"/>
                    <w:snapToGrid w:val="0"/>
                    <w:jc w:val="center"/>
                  </w:pPr>
                  <w:r>
                    <w:rPr>
                      <w:rFonts w:hint="eastAsia"/>
                    </w:rPr>
                    <w:t>53.7</w:t>
                  </w:r>
                </w:p>
              </w:tc>
              <w:tc>
                <w:tcPr>
                  <w:tcW w:w="731" w:type="pct"/>
                  <w:vAlign w:val="center"/>
                </w:tcPr>
                <w:p>
                  <w:pPr>
                    <w:adjustRightInd w:val="0"/>
                    <w:snapToGrid w:val="0"/>
                    <w:jc w:val="center"/>
                  </w:pPr>
                  <w:r>
                    <w:rPr>
                      <w:rFonts w:hint="eastAsia"/>
                    </w:rPr>
                    <w:t>--</w:t>
                  </w:r>
                </w:p>
              </w:tc>
              <w:tc>
                <w:tcPr>
                  <w:tcW w:w="792" w:type="pct"/>
                  <w:vMerge w:val="restart"/>
                  <w:vAlign w:val="center"/>
                </w:tcPr>
                <w:p>
                  <w:pPr>
                    <w:widowControl/>
                    <w:adjustRightInd w:val="0"/>
                    <w:snapToGrid w:val="0"/>
                    <w:jc w:val="center"/>
                  </w:pPr>
                  <w:r>
                    <w:rPr>
                      <w:rFonts w:hint="eastAsia"/>
                      <w:kern w:val="0"/>
                    </w:rPr>
                    <w:t>昼间：60</w:t>
                  </w: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kern w:val="0"/>
                    </w:rPr>
                    <w:t>4#</w:t>
                  </w:r>
                  <w:r>
                    <w:rPr>
                      <w:rFonts w:hint="eastAsia"/>
                      <w:kern w:val="0"/>
                    </w:rPr>
                    <w:t>（</w:t>
                  </w:r>
                  <w:r>
                    <w:rPr>
                      <w:rFonts w:hint="eastAsia"/>
                    </w:rPr>
                    <w:t>厂</w:t>
                  </w:r>
                  <w:r>
                    <w:rPr>
                      <w:rFonts w:hint="eastAsia"/>
                      <w:kern w:val="0"/>
                    </w:rPr>
                    <w:t>界南）</w:t>
                  </w:r>
                </w:p>
              </w:tc>
              <w:tc>
                <w:tcPr>
                  <w:tcW w:w="796" w:type="pct"/>
                  <w:vAlign w:val="center"/>
                </w:tcPr>
                <w:p>
                  <w:pPr>
                    <w:adjustRightInd w:val="0"/>
                    <w:snapToGrid w:val="0"/>
                    <w:jc w:val="center"/>
                    <w:rPr>
                      <w:kern w:val="0"/>
                    </w:rPr>
                  </w:pPr>
                  <w:r>
                    <w:rPr>
                      <w:rFonts w:hint="eastAsia"/>
                      <w:kern w:val="0"/>
                    </w:rPr>
                    <w:t>30.7</w:t>
                  </w:r>
                </w:p>
              </w:tc>
              <w:tc>
                <w:tcPr>
                  <w:tcW w:w="816" w:type="pct"/>
                  <w:vAlign w:val="center"/>
                </w:tcPr>
                <w:p>
                  <w:pPr>
                    <w:adjustRightInd w:val="0"/>
                    <w:snapToGrid w:val="0"/>
                    <w:jc w:val="center"/>
                  </w:pPr>
                  <w:r>
                    <w:rPr>
                      <w:rFonts w:hint="eastAsia"/>
                    </w:rPr>
                    <w:t>53.0</w:t>
                  </w:r>
                </w:p>
              </w:tc>
              <w:tc>
                <w:tcPr>
                  <w:tcW w:w="731" w:type="pct"/>
                  <w:vAlign w:val="center"/>
                </w:tcPr>
                <w:p>
                  <w:pPr>
                    <w:adjustRightInd w:val="0"/>
                    <w:snapToGrid w:val="0"/>
                    <w:jc w:val="center"/>
                  </w:pPr>
                  <w:r>
                    <w:rPr>
                      <w:rFonts w:hint="eastAsia"/>
                    </w:rPr>
                    <w:t>--</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color w:val="000000" w:themeColor="text1"/>
                      <w:kern w:val="0"/>
                    </w:rPr>
                  </w:pPr>
                  <w:r>
                    <w:rPr>
                      <w:rFonts w:hint="eastAsia"/>
                      <w:color w:val="000000" w:themeColor="text1"/>
                      <w:kern w:val="0"/>
                    </w:rPr>
                    <w:t>5# 学生宿舍楼（1#）</w:t>
                  </w:r>
                </w:p>
              </w:tc>
              <w:tc>
                <w:tcPr>
                  <w:tcW w:w="796" w:type="pct"/>
                  <w:vAlign w:val="center"/>
                </w:tcPr>
                <w:p>
                  <w:pPr>
                    <w:adjustRightInd w:val="0"/>
                    <w:snapToGrid w:val="0"/>
                    <w:jc w:val="center"/>
                    <w:rPr>
                      <w:kern w:val="0"/>
                    </w:rPr>
                  </w:pPr>
                  <w:r>
                    <w:rPr>
                      <w:rFonts w:hint="eastAsia"/>
                      <w:kern w:val="0"/>
                    </w:rPr>
                    <w:t>43.3</w:t>
                  </w:r>
                </w:p>
              </w:tc>
              <w:tc>
                <w:tcPr>
                  <w:tcW w:w="816" w:type="pct"/>
                  <w:vAlign w:val="center"/>
                </w:tcPr>
                <w:p>
                  <w:pPr>
                    <w:adjustRightInd w:val="0"/>
                    <w:snapToGrid w:val="0"/>
                    <w:jc w:val="center"/>
                  </w:pPr>
                  <w:r>
                    <w:rPr>
                      <w:rFonts w:hint="eastAsia"/>
                    </w:rPr>
                    <w:t>35.3</w:t>
                  </w:r>
                </w:p>
              </w:tc>
              <w:tc>
                <w:tcPr>
                  <w:tcW w:w="731" w:type="pct"/>
                  <w:vAlign w:val="center"/>
                </w:tcPr>
                <w:p>
                  <w:pPr>
                    <w:adjustRightInd w:val="0"/>
                    <w:snapToGrid w:val="0"/>
                    <w:jc w:val="center"/>
                  </w:pPr>
                  <w:r>
                    <w:rPr>
                      <w:rFonts w:hint="eastAsia"/>
                    </w:rPr>
                    <w:t>43.9</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color w:val="000000" w:themeColor="text1"/>
                      <w:kern w:val="0"/>
                    </w:rPr>
                  </w:pPr>
                  <w:r>
                    <w:rPr>
                      <w:rFonts w:hint="eastAsia"/>
                      <w:color w:val="000000" w:themeColor="text1"/>
                      <w:kern w:val="0"/>
                    </w:rPr>
                    <w:t>6#学生宿舍楼（2#）</w:t>
                  </w:r>
                </w:p>
              </w:tc>
              <w:tc>
                <w:tcPr>
                  <w:tcW w:w="796" w:type="pct"/>
                  <w:vAlign w:val="center"/>
                </w:tcPr>
                <w:p>
                  <w:pPr>
                    <w:adjustRightInd w:val="0"/>
                    <w:snapToGrid w:val="0"/>
                    <w:jc w:val="center"/>
                    <w:rPr>
                      <w:kern w:val="0"/>
                    </w:rPr>
                  </w:pPr>
                  <w:r>
                    <w:rPr>
                      <w:rFonts w:hint="eastAsia"/>
                      <w:kern w:val="0"/>
                    </w:rPr>
                    <w:t>38.8</w:t>
                  </w:r>
                </w:p>
              </w:tc>
              <w:tc>
                <w:tcPr>
                  <w:tcW w:w="816" w:type="pct"/>
                  <w:vAlign w:val="center"/>
                </w:tcPr>
                <w:p>
                  <w:pPr>
                    <w:adjustRightInd w:val="0"/>
                    <w:snapToGrid w:val="0"/>
                    <w:jc w:val="center"/>
                  </w:pPr>
                  <w:r>
                    <w:rPr>
                      <w:rFonts w:hint="eastAsia"/>
                    </w:rPr>
                    <w:t>35.3</w:t>
                  </w:r>
                </w:p>
              </w:tc>
              <w:tc>
                <w:tcPr>
                  <w:tcW w:w="731" w:type="pct"/>
                  <w:vAlign w:val="center"/>
                </w:tcPr>
                <w:p>
                  <w:pPr>
                    <w:adjustRightInd w:val="0"/>
                    <w:snapToGrid w:val="0"/>
                    <w:jc w:val="center"/>
                  </w:pPr>
                  <w:r>
                    <w:rPr>
                      <w:rFonts w:hint="eastAsia"/>
                    </w:rPr>
                    <w:t>40.4</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rFonts w:hint="eastAsia"/>
                      <w:kern w:val="0"/>
                    </w:rPr>
                    <w:t>7#教工公寓楼</w:t>
                  </w:r>
                </w:p>
              </w:tc>
              <w:tc>
                <w:tcPr>
                  <w:tcW w:w="796" w:type="pct"/>
                  <w:vAlign w:val="center"/>
                </w:tcPr>
                <w:p>
                  <w:pPr>
                    <w:adjustRightInd w:val="0"/>
                    <w:snapToGrid w:val="0"/>
                    <w:jc w:val="center"/>
                    <w:rPr>
                      <w:kern w:val="0"/>
                    </w:rPr>
                  </w:pPr>
                  <w:r>
                    <w:rPr>
                      <w:rFonts w:hint="eastAsia"/>
                      <w:kern w:val="0"/>
                    </w:rPr>
                    <w:t>42.8</w:t>
                  </w:r>
                </w:p>
              </w:tc>
              <w:tc>
                <w:tcPr>
                  <w:tcW w:w="816" w:type="pct"/>
                  <w:vAlign w:val="center"/>
                </w:tcPr>
                <w:p>
                  <w:pPr>
                    <w:adjustRightInd w:val="0"/>
                    <w:snapToGrid w:val="0"/>
                    <w:jc w:val="center"/>
                  </w:pPr>
                  <w:r>
                    <w:rPr>
                      <w:rFonts w:hint="eastAsia"/>
                    </w:rPr>
                    <w:t>35.3</w:t>
                  </w:r>
                </w:p>
              </w:tc>
              <w:tc>
                <w:tcPr>
                  <w:tcW w:w="731" w:type="pct"/>
                  <w:vAlign w:val="center"/>
                </w:tcPr>
                <w:p>
                  <w:pPr>
                    <w:adjustRightInd w:val="0"/>
                    <w:snapToGrid w:val="0"/>
                    <w:jc w:val="center"/>
                  </w:pPr>
                  <w:r>
                    <w:rPr>
                      <w:rFonts w:hint="eastAsia"/>
                    </w:rPr>
                    <w:t>43.5</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rFonts w:hint="eastAsia"/>
                      <w:kern w:val="0"/>
                    </w:rPr>
                    <w:t>8#蕉充村居委会</w:t>
                  </w:r>
                </w:p>
              </w:tc>
              <w:tc>
                <w:tcPr>
                  <w:tcW w:w="796" w:type="pct"/>
                  <w:vAlign w:val="center"/>
                </w:tcPr>
                <w:p>
                  <w:pPr>
                    <w:adjustRightInd w:val="0"/>
                    <w:snapToGrid w:val="0"/>
                    <w:jc w:val="center"/>
                    <w:rPr>
                      <w:kern w:val="0"/>
                    </w:rPr>
                  </w:pPr>
                  <w:r>
                    <w:rPr>
                      <w:rFonts w:hint="eastAsia"/>
                      <w:kern w:val="0"/>
                    </w:rPr>
                    <w:t>41.7</w:t>
                  </w:r>
                </w:p>
              </w:tc>
              <w:tc>
                <w:tcPr>
                  <w:tcW w:w="816" w:type="pct"/>
                  <w:vAlign w:val="center"/>
                </w:tcPr>
                <w:p>
                  <w:pPr>
                    <w:adjustRightInd w:val="0"/>
                    <w:snapToGrid w:val="0"/>
                    <w:jc w:val="center"/>
                  </w:pPr>
                  <w:r>
                    <w:rPr>
                      <w:rFonts w:hint="eastAsia"/>
                    </w:rPr>
                    <w:t>57.0</w:t>
                  </w:r>
                </w:p>
              </w:tc>
              <w:tc>
                <w:tcPr>
                  <w:tcW w:w="731" w:type="pct"/>
                  <w:vAlign w:val="center"/>
                </w:tcPr>
                <w:p>
                  <w:pPr>
                    <w:adjustRightInd w:val="0"/>
                    <w:snapToGrid w:val="0"/>
                    <w:jc w:val="center"/>
                  </w:pPr>
                  <w:r>
                    <w:rPr>
                      <w:rFonts w:hint="eastAsia"/>
                    </w:rPr>
                    <w:t>57.1</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6" w:type="pct"/>
                  <w:vAlign w:val="center"/>
                </w:tcPr>
                <w:p>
                  <w:pPr>
                    <w:adjustRightInd w:val="0"/>
                    <w:snapToGrid w:val="0"/>
                    <w:jc w:val="center"/>
                    <w:rPr>
                      <w:kern w:val="0"/>
                    </w:rPr>
                  </w:pPr>
                  <w:r>
                    <w:rPr>
                      <w:rFonts w:hint="eastAsia"/>
                      <w:kern w:val="0"/>
                    </w:rPr>
                    <w:t>9#蕉充安置</w:t>
                  </w:r>
                </w:p>
                <w:p>
                  <w:pPr>
                    <w:adjustRightInd w:val="0"/>
                    <w:snapToGrid w:val="0"/>
                    <w:jc w:val="center"/>
                    <w:rPr>
                      <w:kern w:val="0"/>
                    </w:rPr>
                  </w:pPr>
                  <w:r>
                    <w:rPr>
                      <w:rFonts w:hint="eastAsia"/>
                      <w:kern w:val="0"/>
                    </w:rPr>
                    <w:t>小区一期</w:t>
                  </w:r>
                </w:p>
              </w:tc>
              <w:tc>
                <w:tcPr>
                  <w:tcW w:w="796" w:type="pct"/>
                  <w:vAlign w:val="center"/>
                </w:tcPr>
                <w:p>
                  <w:pPr>
                    <w:adjustRightInd w:val="0"/>
                    <w:snapToGrid w:val="0"/>
                    <w:jc w:val="center"/>
                    <w:rPr>
                      <w:kern w:val="0"/>
                    </w:rPr>
                  </w:pPr>
                  <w:r>
                    <w:rPr>
                      <w:rFonts w:hint="eastAsia"/>
                      <w:kern w:val="0"/>
                    </w:rPr>
                    <w:t>30.7</w:t>
                  </w:r>
                </w:p>
              </w:tc>
              <w:tc>
                <w:tcPr>
                  <w:tcW w:w="816" w:type="pct"/>
                  <w:vAlign w:val="center"/>
                </w:tcPr>
                <w:p>
                  <w:pPr>
                    <w:adjustRightInd w:val="0"/>
                    <w:snapToGrid w:val="0"/>
                    <w:jc w:val="center"/>
                  </w:pPr>
                  <w:r>
                    <w:rPr>
                      <w:rFonts w:hint="eastAsia"/>
                    </w:rPr>
                    <w:t>54.5</w:t>
                  </w:r>
                </w:p>
              </w:tc>
              <w:tc>
                <w:tcPr>
                  <w:tcW w:w="731" w:type="pct"/>
                  <w:vAlign w:val="center"/>
                </w:tcPr>
                <w:p>
                  <w:pPr>
                    <w:adjustRightInd w:val="0"/>
                    <w:snapToGrid w:val="0"/>
                    <w:jc w:val="center"/>
                  </w:pPr>
                  <w:r>
                    <w:rPr>
                      <w:rFonts w:hint="eastAsia"/>
                    </w:rPr>
                    <w:t>54.5</w:t>
                  </w:r>
                </w:p>
              </w:tc>
              <w:tc>
                <w:tcPr>
                  <w:tcW w:w="792" w:type="pct"/>
                  <w:vMerge w:val="continue"/>
                  <w:vAlign w:val="center"/>
                </w:tcPr>
                <w:p>
                  <w:pPr>
                    <w:widowControl/>
                    <w:adjustRightInd w:val="0"/>
                    <w:snapToGrid w:val="0"/>
                    <w:jc w:val="center"/>
                  </w:pPr>
                </w:p>
              </w:tc>
              <w:tc>
                <w:tcPr>
                  <w:tcW w:w="647" w:type="pct"/>
                  <w:vAlign w:val="center"/>
                </w:tcPr>
                <w:p>
                  <w:pPr>
                    <w:autoSpaceDE w:val="0"/>
                    <w:autoSpaceDN w:val="0"/>
                    <w:adjustRightInd w:val="0"/>
                    <w:snapToGrid w:val="0"/>
                    <w:jc w:val="center"/>
                  </w:pPr>
                  <w:r>
                    <w:rPr>
                      <w:rFonts w:hint="eastAsia"/>
                    </w:rPr>
                    <w:t>达标</w:t>
                  </w:r>
                </w:p>
              </w:tc>
            </w:tr>
          </w:tbl>
          <w:p>
            <w:pPr>
              <w:autoSpaceDE w:val="0"/>
              <w:autoSpaceDN w:val="0"/>
              <w:adjustRightInd w:val="0"/>
              <w:spacing w:line="360" w:lineRule="auto"/>
              <w:ind w:firstLine="420" w:firstLineChars="200"/>
              <w:jc w:val="left"/>
              <w:rPr>
                <w:kern w:val="0"/>
              </w:rPr>
            </w:pPr>
            <w:r>
              <w:rPr>
                <w:rFonts w:hint="eastAsia"/>
                <w:kern w:val="0"/>
              </w:rPr>
              <w:t>（注：厨房、地下车库风机仅在昼间使用，校内敏感目标背景值取四周厂界背景监测值平均值）</w:t>
            </w:r>
          </w:p>
          <w:p>
            <w:pPr>
              <w:autoSpaceDE w:val="0"/>
              <w:autoSpaceDN w:val="0"/>
              <w:adjustRightInd w:val="0"/>
              <w:spacing w:line="360" w:lineRule="auto"/>
              <w:ind w:firstLine="480" w:firstLineChars="200"/>
              <w:jc w:val="left"/>
              <w:rPr>
                <w:sz w:val="24"/>
              </w:rPr>
            </w:pPr>
            <w:r>
              <w:rPr>
                <w:rFonts w:hint="eastAsia"/>
                <w:sz w:val="24"/>
              </w:rPr>
              <w:t>根据预测结果可知，</w:t>
            </w:r>
            <w:r>
              <w:rPr>
                <w:rFonts w:hint="eastAsia"/>
                <w:sz w:val="24"/>
                <w:lang w:val="en-GB"/>
              </w:rPr>
              <w:t>经隔声、减震、</w:t>
            </w:r>
            <w:r>
              <w:rPr>
                <w:rFonts w:hint="eastAsia"/>
                <w:sz w:val="24"/>
              </w:rPr>
              <w:t>风机管道软连接</w:t>
            </w:r>
            <w:r>
              <w:rPr>
                <w:rFonts w:hint="eastAsia"/>
                <w:sz w:val="24"/>
                <w:lang w:val="en-GB"/>
              </w:rPr>
              <w:t>及距离衰减后东、南、西、北场界</w:t>
            </w:r>
            <w:r>
              <w:rPr>
                <w:rFonts w:hint="eastAsia"/>
                <w:sz w:val="24"/>
              </w:rPr>
              <w:t>噪声值满足《</w:t>
            </w:r>
            <w:r>
              <w:rPr>
                <w:rFonts w:ascii="宋体" w:hAnsi="宋体" w:cs="宋体"/>
                <w:sz w:val="24"/>
              </w:rPr>
              <w:t>工业企业厂界环境噪声排放标准</w:t>
            </w:r>
            <w:r>
              <w:rPr>
                <w:rFonts w:hint="eastAsia"/>
                <w:sz w:val="24"/>
              </w:rPr>
              <w:t>》（GB12348-2008）</w:t>
            </w:r>
            <w:r>
              <w:rPr>
                <w:sz w:val="24"/>
              </w:rPr>
              <w:t>2</w:t>
            </w:r>
            <w:r>
              <w:rPr>
                <w:rFonts w:hint="eastAsia"/>
                <w:sz w:val="24"/>
              </w:rPr>
              <w:t>类区标准，</w:t>
            </w:r>
            <w:r>
              <w:rPr>
                <w:rFonts w:hint="eastAsia"/>
                <w:color w:val="000000" w:themeColor="text1"/>
                <w:sz w:val="24"/>
              </w:rPr>
              <w:t>对1#学生宿舍楼、2#学生宿舍楼</w:t>
            </w:r>
            <w:r>
              <w:rPr>
                <w:rFonts w:hint="eastAsia"/>
                <w:sz w:val="24"/>
              </w:rPr>
              <w:t>、教工公寓楼、蕉充村居委会和蕉充安置小区一期敏感点噪声满足</w:t>
            </w:r>
            <w:r>
              <w:rPr>
                <w:rFonts w:hAnsi="宋体"/>
                <w:sz w:val="24"/>
              </w:rPr>
              <w:t>《声环境质量标准》（</w:t>
            </w:r>
            <w:r>
              <w:rPr>
                <w:sz w:val="24"/>
              </w:rPr>
              <w:t>GB3096-2008</w:t>
            </w:r>
            <w:r>
              <w:rPr>
                <w:rFonts w:hAnsi="宋体"/>
                <w:sz w:val="24"/>
              </w:rPr>
              <w:t>）</w:t>
            </w:r>
            <w:r>
              <w:rPr>
                <w:rFonts w:hint="eastAsia"/>
                <w:sz w:val="24"/>
              </w:rPr>
              <w:t>2</w:t>
            </w:r>
            <w:r>
              <w:rPr>
                <w:rFonts w:hAnsi="宋体"/>
                <w:sz w:val="24"/>
              </w:rPr>
              <w:t>类标准</w:t>
            </w:r>
            <w:r>
              <w:rPr>
                <w:rFonts w:hint="eastAsia" w:hAnsi="宋体"/>
                <w:sz w:val="24"/>
              </w:rPr>
              <w:t>，因此，本项目噪声</w:t>
            </w:r>
            <w:r>
              <w:rPr>
                <w:rFonts w:hint="eastAsia"/>
                <w:sz w:val="24"/>
              </w:rPr>
              <w:t>对外界环境影响较小。</w:t>
            </w:r>
          </w:p>
          <w:p>
            <w:pPr>
              <w:pStyle w:val="2"/>
              <w:ind w:firstLine="482"/>
              <w:rPr>
                <w:b/>
                <w:bCs/>
                <w:szCs w:val="24"/>
                <w:lang w:val="en-US" w:eastAsia="zh-CN"/>
              </w:rPr>
            </w:pPr>
            <w:r>
              <w:rPr>
                <w:rFonts w:hint="eastAsia"/>
                <w:b/>
                <w:bCs/>
                <w:szCs w:val="24"/>
                <w:lang w:val="en-US" w:eastAsia="zh-CN"/>
              </w:rPr>
              <w:t>（3）保护措施</w:t>
            </w:r>
          </w:p>
          <w:p>
            <w:pPr>
              <w:adjustRightInd w:val="0"/>
              <w:spacing w:line="360" w:lineRule="auto"/>
              <w:ind w:firstLine="480" w:firstLineChars="200"/>
              <w:outlineLvl w:val="0"/>
              <w:rPr>
                <w:rFonts w:ascii="宋体" w:hAnsi="宋体" w:cs="宋体"/>
                <w:sz w:val="24"/>
              </w:rPr>
            </w:pPr>
            <w:r>
              <w:rPr>
                <w:rFonts w:hint="eastAsia" w:ascii="宋体" w:hAnsi="宋体" w:cs="宋体"/>
                <w:sz w:val="24"/>
              </w:rPr>
              <w:t>①风机应选用低噪声型号，设基础减振</w:t>
            </w:r>
            <w:r>
              <w:rPr>
                <w:rFonts w:hint="eastAsia"/>
                <w:bCs/>
                <w:sz w:val="24"/>
              </w:rPr>
              <w:t>墙体隔声、风机管道软连接等</w:t>
            </w:r>
            <w:r>
              <w:rPr>
                <w:rFonts w:hint="eastAsia" w:ascii="宋体" w:hAnsi="宋体" w:cs="宋体"/>
                <w:sz w:val="24"/>
              </w:rPr>
              <w:t>。</w:t>
            </w:r>
          </w:p>
          <w:p>
            <w:pPr>
              <w:adjustRightInd w:val="0"/>
              <w:spacing w:line="360" w:lineRule="auto"/>
              <w:ind w:firstLine="480" w:firstLineChars="200"/>
              <w:rPr>
                <w:rFonts w:ascii="宋体" w:hAnsi="宋体" w:cs="宋体"/>
                <w:sz w:val="24"/>
              </w:rPr>
            </w:pPr>
            <w:r>
              <w:rPr>
                <w:rFonts w:hint="eastAsia" w:ascii="宋体" w:hAnsi="宋体" w:cs="宋体"/>
                <w:sz w:val="24"/>
              </w:rPr>
              <w:t>②加强对进出车辆停泊的进出管理，尽量缩短汽车的怠速停留时间，限制校区内车速，禁止车辆鸣笛，尽量缩短汽车出入口停留时间以减少汽车噪声和汽车废气对周围环境和自身的影响。</w:t>
            </w:r>
          </w:p>
          <w:p>
            <w:pPr>
              <w:adjustRightInd w:val="0"/>
              <w:spacing w:line="360" w:lineRule="auto"/>
              <w:ind w:firstLine="480" w:firstLineChars="200"/>
              <w:outlineLvl w:val="0"/>
              <w:rPr>
                <w:sz w:val="24"/>
              </w:rPr>
            </w:pPr>
            <w:r>
              <w:rPr>
                <w:rFonts w:hint="eastAsia" w:ascii="宋体" w:hAnsi="宋体" w:cs="宋体"/>
                <w:sz w:val="24"/>
              </w:rPr>
              <w:t>③做好绿化工作，厂界四周绿化带，项目周边及内部进行合理的绿化设计。种植高大树种，进行复层绿化，形成乔、灌、草复层绿化屏障，可起到较好的减噪效果。既可以</w:t>
            </w:r>
            <w:r>
              <w:rPr>
                <w:rFonts w:hint="eastAsia"/>
                <w:sz w:val="24"/>
              </w:rPr>
              <w:t>起到天然声屏障的作用，又可以起到景观绿化的作用。</w:t>
            </w:r>
          </w:p>
          <w:p>
            <w:pPr>
              <w:adjustRightInd w:val="0"/>
              <w:spacing w:line="360" w:lineRule="auto"/>
              <w:ind w:firstLine="480" w:firstLineChars="200"/>
              <w:outlineLvl w:val="0"/>
              <w:rPr>
                <w:sz w:val="24"/>
              </w:rPr>
            </w:pPr>
            <w:r>
              <w:rPr>
                <w:rFonts w:hint="eastAsia"/>
                <w:sz w:val="24"/>
              </w:rPr>
              <w:t>采取以上隔音降噪措施后，能满足《</w:t>
            </w:r>
            <w:r>
              <w:rPr>
                <w:rFonts w:ascii="宋体" w:hAnsi="宋体" w:cs="宋体"/>
                <w:sz w:val="24"/>
              </w:rPr>
              <w:t>工业企业厂界环境噪声排放标准</w:t>
            </w:r>
            <w:r>
              <w:rPr>
                <w:rFonts w:hint="eastAsia"/>
                <w:sz w:val="24"/>
              </w:rPr>
              <w:t>》（GB12348-2008）</w:t>
            </w:r>
            <w:r>
              <w:rPr>
                <w:sz w:val="24"/>
              </w:rPr>
              <w:t>2</w:t>
            </w:r>
            <w:r>
              <w:rPr>
                <w:rFonts w:hint="eastAsia"/>
                <w:sz w:val="24"/>
              </w:rPr>
              <w:t>类区标准要求，对周围噪声环境影响较小。</w:t>
            </w:r>
          </w:p>
          <w:p>
            <w:pPr>
              <w:spacing w:line="336" w:lineRule="auto"/>
              <w:rPr>
                <w:b/>
                <w:sz w:val="28"/>
                <w:szCs w:val="28"/>
              </w:rPr>
            </w:pPr>
            <w:r>
              <w:rPr>
                <w:rFonts w:hint="eastAsia"/>
                <w:b/>
                <w:sz w:val="28"/>
                <w:szCs w:val="28"/>
              </w:rPr>
              <w:t>4</w:t>
            </w:r>
            <w:r>
              <w:rPr>
                <w:b/>
                <w:sz w:val="28"/>
                <w:szCs w:val="28"/>
              </w:rPr>
              <w:t>、</w:t>
            </w:r>
            <w:r>
              <w:rPr>
                <w:rFonts w:hint="eastAsia"/>
                <w:b/>
                <w:sz w:val="28"/>
                <w:szCs w:val="28"/>
              </w:rPr>
              <w:t>固体废物</w:t>
            </w:r>
          </w:p>
          <w:p>
            <w:pPr>
              <w:tabs>
                <w:tab w:val="left" w:pos="4410"/>
              </w:tabs>
              <w:spacing w:line="336" w:lineRule="auto"/>
              <w:ind w:firstLine="480" w:firstLineChars="200"/>
              <w:rPr>
                <w:sz w:val="24"/>
              </w:rPr>
            </w:pPr>
            <w:r>
              <w:rPr>
                <w:rFonts w:hint="eastAsia"/>
                <w:sz w:val="24"/>
              </w:rPr>
              <w:t>（1）</w:t>
            </w:r>
            <w:r>
              <w:rPr>
                <w:sz w:val="24"/>
              </w:rPr>
              <w:t>固废产生、处置情况</w:t>
            </w:r>
          </w:p>
          <w:p>
            <w:pPr>
              <w:spacing w:line="336" w:lineRule="auto"/>
              <w:ind w:firstLine="480" w:firstLineChars="200"/>
              <w:rPr>
                <w:sz w:val="24"/>
                <w:lang w:val="zh-CN"/>
              </w:rPr>
            </w:pPr>
            <w:r>
              <w:rPr>
                <w:rFonts w:hint="eastAsia" w:ascii="宋体" w:hAnsi="宋体" w:cs="宋体"/>
                <w:sz w:val="24"/>
              </w:rPr>
              <w:t>①</w:t>
            </w:r>
            <w:r>
              <w:rPr>
                <w:rFonts w:hint="eastAsia"/>
                <w:sz w:val="24"/>
                <w:lang w:val="zh-CN"/>
              </w:rPr>
              <w:t>实验室废物</w:t>
            </w:r>
          </w:p>
          <w:p>
            <w:pPr>
              <w:spacing w:line="336" w:lineRule="auto"/>
              <w:ind w:firstLine="480" w:firstLineChars="200"/>
              <w:rPr>
                <w:sz w:val="24"/>
                <w:lang w:val="zh-CN"/>
              </w:rPr>
            </w:pPr>
            <w:r>
              <w:rPr>
                <w:sz w:val="24"/>
                <w:lang w:val="zh-CN"/>
              </w:rPr>
              <w:t>实验室产生的固废如下：</w:t>
            </w:r>
          </w:p>
          <w:p>
            <w:pPr>
              <w:spacing w:line="336" w:lineRule="auto"/>
              <w:ind w:firstLine="480" w:firstLineChars="200"/>
              <w:rPr>
                <w:sz w:val="24"/>
                <w:lang w:val="zh-CN"/>
              </w:rPr>
            </w:pPr>
            <w:r>
              <w:rPr>
                <w:sz w:val="24"/>
              </w:rPr>
              <w:t>未沾染危化品的废包装物及碎玻璃</w:t>
            </w:r>
            <w:r>
              <w:rPr>
                <w:rFonts w:hint="eastAsia"/>
                <w:sz w:val="24"/>
              </w:rPr>
              <w:t>：</w:t>
            </w:r>
            <w:r>
              <w:rPr>
                <w:rFonts w:hint="eastAsia"/>
                <w:sz w:val="24"/>
                <w:lang w:val="zh-CN"/>
              </w:rPr>
              <w:t>拟建项目产生的</w:t>
            </w:r>
            <w:r>
              <w:rPr>
                <w:sz w:val="24"/>
              </w:rPr>
              <w:t>未沾染危化品的废包装物及碎玻璃</w:t>
            </w:r>
            <w:r>
              <w:rPr>
                <w:rFonts w:hint="eastAsia"/>
                <w:sz w:val="24"/>
                <w:lang w:val="zh-CN"/>
              </w:rPr>
              <w:t>，主要为不属于危化品的试剂、玻璃器皿的外包装，碎玻璃主要是实验室内意外破碎产生的，根据</w:t>
            </w:r>
            <w:r>
              <w:rPr>
                <w:rFonts w:hint="eastAsia"/>
                <w:sz w:val="24"/>
              </w:rPr>
              <w:t>拟建项目同类实验室</w:t>
            </w:r>
            <w:r>
              <w:rPr>
                <w:rFonts w:hint="eastAsia"/>
                <w:sz w:val="24"/>
                <w:lang w:val="zh-CN"/>
              </w:rPr>
              <w:t>类比分析，拟建项目</w:t>
            </w:r>
            <w:r>
              <w:rPr>
                <w:sz w:val="24"/>
                <w:lang w:val="zh-CN"/>
              </w:rPr>
              <w:t>实验室</w:t>
            </w:r>
            <w:r>
              <w:rPr>
                <w:rFonts w:hint="eastAsia"/>
                <w:sz w:val="24"/>
                <w:lang w:val="zh-CN"/>
              </w:rPr>
              <w:t>产生的</w:t>
            </w:r>
            <w:r>
              <w:rPr>
                <w:sz w:val="24"/>
              </w:rPr>
              <w:t>未沾染危化品的废包装物及碎玻璃</w:t>
            </w:r>
            <w:r>
              <w:rPr>
                <w:rFonts w:hint="eastAsia"/>
                <w:sz w:val="24"/>
                <w:lang w:val="zh-CN"/>
              </w:rPr>
              <w:t>约</w:t>
            </w:r>
            <w:r>
              <w:rPr>
                <w:rFonts w:hint="eastAsia"/>
                <w:sz w:val="24"/>
              </w:rPr>
              <w:t>0.5</w:t>
            </w:r>
            <w:r>
              <w:rPr>
                <w:rFonts w:hint="eastAsia"/>
                <w:sz w:val="24"/>
                <w:lang w:val="zh-CN"/>
              </w:rPr>
              <w:t>t/a，收集后</w:t>
            </w:r>
            <w:r>
              <w:rPr>
                <w:rFonts w:hint="eastAsia"/>
                <w:sz w:val="24"/>
              </w:rPr>
              <w:t>能回收利用的外售回收利用，不能回收利用的</w:t>
            </w:r>
            <w:r>
              <w:rPr>
                <w:rFonts w:hint="eastAsia"/>
                <w:sz w:val="24"/>
                <w:lang w:val="zh-CN"/>
              </w:rPr>
              <w:t>交由环卫部门清运</w:t>
            </w:r>
            <w:r>
              <w:rPr>
                <w:rFonts w:hint="eastAsia"/>
                <w:sz w:val="24"/>
              </w:rPr>
              <w:t>至黄山市</w:t>
            </w:r>
            <w:r>
              <w:rPr>
                <w:sz w:val="24"/>
              </w:rPr>
              <w:t>生活垃圾</w:t>
            </w:r>
            <w:r>
              <w:rPr>
                <w:rFonts w:hint="eastAsia"/>
                <w:sz w:val="24"/>
              </w:rPr>
              <w:t>综合处理</w:t>
            </w:r>
            <w:r>
              <w:rPr>
                <w:sz w:val="24"/>
              </w:rPr>
              <w:t>厂</w:t>
            </w:r>
            <w:r>
              <w:rPr>
                <w:rFonts w:hint="eastAsia"/>
                <w:sz w:val="24"/>
              </w:rPr>
              <w:t>焚烧处置</w:t>
            </w:r>
            <w:r>
              <w:rPr>
                <w:rFonts w:hint="eastAsia"/>
                <w:sz w:val="24"/>
                <w:lang w:val="zh-CN"/>
              </w:rPr>
              <w:t>。</w:t>
            </w:r>
          </w:p>
          <w:p>
            <w:pPr>
              <w:spacing w:line="336" w:lineRule="auto"/>
              <w:ind w:firstLine="480" w:firstLineChars="200"/>
              <w:rPr>
                <w:color w:val="auto"/>
                <w:sz w:val="24"/>
                <w:lang w:val="zh-CN"/>
              </w:rPr>
            </w:pPr>
            <w:r>
              <w:rPr>
                <w:sz w:val="24"/>
              </w:rPr>
              <w:t>沾染危化品的废包装物及碎玻璃</w:t>
            </w:r>
            <w:r>
              <w:rPr>
                <w:rFonts w:hint="eastAsia"/>
                <w:sz w:val="24"/>
                <w:lang w:val="zh-CN"/>
              </w:rPr>
              <w:t>：根据</w:t>
            </w:r>
            <w:r>
              <w:rPr>
                <w:rFonts w:hint="eastAsia"/>
                <w:sz w:val="24"/>
              </w:rPr>
              <w:t>拟建项目同类实验室</w:t>
            </w:r>
            <w:r>
              <w:rPr>
                <w:rFonts w:hint="eastAsia"/>
                <w:sz w:val="24"/>
                <w:lang w:val="zh-CN"/>
              </w:rPr>
              <w:t>类比分析，</w:t>
            </w:r>
            <w:r>
              <w:rPr>
                <w:sz w:val="24"/>
                <w:lang w:val="zh-CN"/>
              </w:rPr>
              <w:t>约0.</w:t>
            </w:r>
            <w:r>
              <w:rPr>
                <w:rFonts w:hint="eastAsia"/>
                <w:sz w:val="24"/>
              </w:rPr>
              <w:t>05</w:t>
            </w:r>
            <w:r>
              <w:rPr>
                <w:sz w:val="24"/>
                <w:lang w:val="zh-CN"/>
              </w:rPr>
              <w:t>t/a</w:t>
            </w:r>
            <w:r>
              <w:rPr>
                <w:rFonts w:hint="eastAsia"/>
                <w:sz w:val="24"/>
                <w:lang w:val="zh-CN"/>
              </w:rPr>
              <w:t>，</w:t>
            </w:r>
            <w:r>
              <w:rPr>
                <w:sz w:val="24"/>
                <w:lang w:val="zh-CN"/>
              </w:rPr>
              <w:t>根据《国家危险废物名录》中的规定，属于HW49其他废物，应统一收集后委托</w:t>
            </w:r>
            <w:r>
              <w:rPr>
                <w:rFonts w:hint="eastAsia"/>
                <w:sz w:val="24"/>
                <w:lang w:val="zh-CN"/>
              </w:rPr>
              <w:t>有</w:t>
            </w:r>
            <w:r>
              <w:rPr>
                <w:rFonts w:hint="eastAsia"/>
                <w:color w:val="auto"/>
                <w:sz w:val="24"/>
                <w:lang w:val="zh-CN"/>
              </w:rPr>
              <w:t>危废处理资质单位</w:t>
            </w:r>
            <w:r>
              <w:rPr>
                <w:color w:val="auto"/>
                <w:sz w:val="24"/>
                <w:lang w:val="zh-CN"/>
              </w:rPr>
              <w:t>回收</w:t>
            </w:r>
            <w:r>
              <w:rPr>
                <w:rFonts w:hint="eastAsia"/>
                <w:color w:val="auto"/>
                <w:sz w:val="24"/>
                <w:lang w:val="zh-CN"/>
              </w:rPr>
              <w:t>处置</w:t>
            </w:r>
            <w:r>
              <w:rPr>
                <w:color w:val="auto"/>
                <w:sz w:val="24"/>
                <w:lang w:val="zh-CN"/>
              </w:rPr>
              <w:t>。</w:t>
            </w:r>
          </w:p>
          <w:p>
            <w:pPr>
              <w:spacing w:line="336" w:lineRule="auto"/>
              <w:ind w:firstLine="480" w:firstLineChars="200"/>
              <w:rPr>
                <w:color w:val="auto"/>
                <w:sz w:val="24"/>
                <w:lang w:val="zh-CN"/>
              </w:rPr>
            </w:pPr>
            <w:r>
              <w:rPr>
                <w:rFonts w:hint="eastAsia"/>
                <w:color w:val="auto"/>
                <w:sz w:val="24"/>
              </w:rPr>
              <w:t>失效过期的化学试剂：</w:t>
            </w:r>
            <w:r>
              <w:rPr>
                <w:rFonts w:hint="eastAsia"/>
                <w:color w:val="auto"/>
                <w:kern w:val="0"/>
                <w:sz w:val="24"/>
                <w:szCs w:val="20"/>
                <w:lang w:val="zh-CN"/>
              </w:rPr>
              <w:t>实验室采购实验试剂过量比例</w:t>
            </w:r>
            <w:r>
              <w:rPr>
                <w:rFonts w:hint="eastAsia"/>
                <w:color w:val="auto"/>
                <w:kern w:val="0"/>
                <w:sz w:val="24"/>
                <w:szCs w:val="20"/>
              </w:rPr>
              <w:t>约为2.4%，项目实验室主要化学试剂年用量为0.</w:t>
            </w:r>
            <w:r>
              <w:rPr>
                <w:rFonts w:hint="eastAsia"/>
                <w:color w:val="auto"/>
                <w:kern w:val="0"/>
                <w:sz w:val="24"/>
                <w:szCs w:val="20"/>
                <w:lang w:val="en-US" w:eastAsia="zh-CN"/>
              </w:rPr>
              <w:t>17</w:t>
            </w:r>
            <w:r>
              <w:rPr>
                <w:rFonts w:hint="eastAsia"/>
                <w:color w:val="auto"/>
                <w:kern w:val="0"/>
                <w:sz w:val="24"/>
                <w:szCs w:val="20"/>
              </w:rPr>
              <w:t>5t/a，</w:t>
            </w:r>
            <w:r>
              <w:rPr>
                <w:rFonts w:hint="eastAsia"/>
                <w:color w:val="auto"/>
                <w:kern w:val="0"/>
                <w:sz w:val="24"/>
                <w:szCs w:val="20"/>
                <w:lang w:val="zh-CN"/>
              </w:rPr>
              <w:t>依次估算出</w:t>
            </w:r>
            <w:r>
              <w:rPr>
                <w:rFonts w:hint="eastAsia"/>
                <w:color w:val="auto"/>
                <w:kern w:val="0"/>
                <w:sz w:val="24"/>
                <w:szCs w:val="20"/>
              </w:rPr>
              <w:t>失效过期的化学试剂</w:t>
            </w:r>
            <w:r>
              <w:rPr>
                <w:rFonts w:hint="eastAsia"/>
                <w:color w:val="auto"/>
                <w:kern w:val="0"/>
                <w:sz w:val="24"/>
                <w:szCs w:val="20"/>
                <w:lang w:val="zh-CN"/>
              </w:rPr>
              <w:t>约</w:t>
            </w:r>
            <w:r>
              <w:rPr>
                <w:rFonts w:hint="eastAsia"/>
                <w:color w:val="auto"/>
                <w:kern w:val="0"/>
                <w:sz w:val="24"/>
                <w:szCs w:val="20"/>
              </w:rPr>
              <w:t>0.00</w:t>
            </w:r>
            <w:r>
              <w:rPr>
                <w:rFonts w:hint="eastAsia"/>
                <w:color w:val="auto"/>
                <w:kern w:val="0"/>
                <w:sz w:val="24"/>
                <w:szCs w:val="20"/>
                <w:lang w:val="en-US" w:eastAsia="zh-CN"/>
              </w:rPr>
              <w:t>42</w:t>
            </w:r>
            <w:r>
              <w:rPr>
                <w:rFonts w:hint="eastAsia"/>
                <w:color w:val="auto"/>
                <w:kern w:val="0"/>
                <w:sz w:val="24"/>
                <w:szCs w:val="20"/>
              </w:rPr>
              <w:t>t</w:t>
            </w:r>
            <w:r>
              <w:rPr>
                <w:rFonts w:hint="eastAsia"/>
                <w:color w:val="auto"/>
                <w:kern w:val="0"/>
                <w:sz w:val="24"/>
                <w:szCs w:val="20"/>
                <w:lang w:val="zh-CN"/>
              </w:rPr>
              <w:t>/a，根据《国家危险废物名录》中的规定，属于HW49其他废物，</w:t>
            </w:r>
            <w:r>
              <w:rPr>
                <w:color w:val="auto"/>
                <w:sz w:val="24"/>
                <w:lang w:val="zh-CN"/>
              </w:rPr>
              <w:t>应统一收集后委托</w:t>
            </w:r>
            <w:r>
              <w:rPr>
                <w:rFonts w:hint="eastAsia"/>
                <w:color w:val="auto"/>
                <w:sz w:val="24"/>
                <w:lang w:val="zh-CN"/>
              </w:rPr>
              <w:t>有危废处理资质单位</w:t>
            </w:r>
            <w:r>
              <w:rPr>
                <w:color w:val="auto"/>
                <w:sz w:val="24"/>
                <w:lang w:val="zh-CN"/>
              </w:rPr>
              <w:t>回收</w:t>
            </w:r>
            <w:r>
              <w:rPr>
                <w:rFonts w:hint="eastAsia"/>
                <w:color w:val="auto"/>
                <w:sz w:val="24"/>
                <w:lang w:val="zh-CN"/>
              </w:rPr>
              <w:t>处置</w:t>
            </w:r>
            <w:r>
              <w:rPr>
                <w:color w:val="auto"/>
                <w:sz w:val="24"/>
                <w:lang w:val="zh-CN"/>
              </w:rPr>
              <w:t>。</w:t>
            </w:r>
          </w:p>
          <w:p>
            <w:pPr>
              <w:spacing w:line="336" w:lineRule="auto"/>
              <w:ind w:firstLine="480" w:firstLineChars="200"/>
              <w:rPr>
                <w:color w:val="auto"/>
                <w:sz w:val="24"/>
              </w:rPr>
            </w:pPr>
            <w:r>
              <w:rPr>
                <w:rFonts w:hint="eastAsia" w:ascii="宋体" w:hAnsi="宋体" w:cs="宋体"/>
                <w:color w:val="auto"/>
                <w:sz w:val="24"/>
              </w:rPr>
              <w:t>②</w:t>
            </w:r>
            <w:r>
              <w:rPr>
                <w:rFonts w:hint="eastAsia"/>
                <w:color w:val="auto"/>
                <w:sz w:val="24"/>
              </w:rPr>
              <w:t>生活垃圾</w:t>
            </w:r>
          </w:p>
          <w:p>
            <w:pPr>
              <w:spacing w:line="336" w:lineRule="auto"/>
              <w:ind w:firstLine="480" w:firstLineChars="200"/>
              <w:rPr>
                <w:rFonts w:hint="eastAsia"/>
                <w:sz w:val="24"/>
              </w:rPr>
            </w:pPr>
            <w:r>
              <w:rPr>
                <w:sz w:val="24"/>
                <w:lang w:val="zh-CN"/>
              </w:rPr>
              <w:t>生活垃圾产生量按0.5kg/人·</w:t>
            </w:r>
            <w:r>
              <w:rPr>
                <w:rFonts w:hint="eastAsia"/>
                <w:sz w:val="24"/>
                <w:lang w:val="zh-CN"/>
              </w:rPr>
              <w:t>d</w:t>
            </w:r>
            <w:r>
              <w:rPr>
                <w:sz w:val="24"/>
                <w:lang w:val="zh-CN"/>
              </w:rPr>
              <w:t>计，</w:t>
            </w:r>
            <w:r>
              <w:rPr>
                <w:rFonts w:hint="eastAsia"/>
                <w:sz w:val="24"/>
                <w:lang w:val="zh-CN"/>
              </w:rPr>
              <w:t>项目共有师生约1</w:t>
            </w:r>
            <w:r>
              <w:rPr>
                <w:sz w:val="24"/>
                <w:lang w:val="zh-CN"/>
              </w:rPr>
              <w:t>300</w:t>
            </w:r>
            <w:r>
              <w:rPr>
                <w:rFonts w:hint="eastAsia"/>
                <w:sz w:val="24"/>
                <w:lang w:val="zh-CN"/>
              </w:rPr>
              <w:t>人</w:t>
            </w:r>
            <w:r>
              <w:rPr>
                <w:sz w:val="24"/>
              </w:rPr>
              <w:t>，则</w:t>
            </w:r>
            <w:r>
              <w:rPr>
                <w:rFonts w:hint="eastAsia"/>
                <w:sz w:val="24"/>
                <w:lang w:val="zh-CN"/>
              </w:rPr>
              <w:t>拟建项目生活</w:t>
            </w:r>
            <w:r>
              <w:rPr>
                <w:sz w:val="24"/>
                <w:lang w:val="zh-CN"/>
              </w:rPr>
              <w:t>垃圾产生总量为</w:t>
            </w:r>
            <w:r>
              <w:rPr>
                <w:sz w:val="24"/>
              </w:rPr>
              <w:t>195</w:t>
            </w:r>
            <w:r>
              <w:rPr>
                <w:sz w:val="24"/>
                <w:lang w:val="zh-CN"/>
              </w:rPr>
              <w:t>t/a，生活垃圾</w:t>
            </w:r>
            <w:r>
              <w:rPr>
                <w:rFonts w:hint="eastAsia"/>
                <w:sz w:val="24"/>
              </w:rPr>
              <w:t>分类收集，能回收利用的外售回收利用，不能回收利用的</w:t>
            </w:r>
            <w:r>
              <w:rPr>
                <w:rFonts w:hint="eastAsia"/>
                <w:sz w:val="24"/>
                <w:lang w:val="zh-CN"/>
              </w:rPr>
              <w:t>交由环卫部门清运</w:t>
            </w:r>
            <w:r>
              <w:rPr>
                <w:rFonts w:hint="eastAsia"/>
                <w:sz w:val="24"/>
              </w:rPr>
              <w:t>至黄山市</w:t>
            </w:r>
            <w:r>
              <w:rPr>
                <w:sz w:val="24"/>
              </w:rPr>
              <w:t>生活垃圾</w:t>
            </w:r>
            <w:r>
              <w:rPr>
                <w:rFonts w:hint="eastAsia"/>
                <w:sz w:val="24"/>
              </w:rPr>
              <w:t>综合处理</w:t>
            </w:r>
            <w:r>
              <w:rPr>
                <w:sz w:val="24"/>
              </w:rPr>
              <w:t>厂</w:t>
            </w:r>
            <w:r>
              <w:rPr>
                <w:rFonts w:hint="eastAsia"/>
                <w:sz w:val="24"/>
              </w:rPr>
              <w:t>焚烧处置</w:t>
            </w:r>
            <w:r>
              <w:rPr>
                <w:sz w:val="24"/>
                <w:lang w:val="zh-CN"/>
              </w:rPr>
              <w:t>。</w:t>
            </w: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ind w:firstLine="480" w:firstLineChars="200"/>
              <w:rPr>
                <w:rFonts w:hint="eastAsia"/>
                <w:sz w:val="24"/>
              </w:rPr>
            </w:pPr>
          </w:p>
          <w:p>
            <w:pPr>
              <w:spacing w:line="336" w:lineRule="auto"/>
              <w:rPr>
                <w:lang w:val="zh-CN"/>
              </w:rPr>
            </w:pPr>
          </w:p>
        </w:tc>
      </w:tr>
    </w:tbl>
    <w:p>
      <w:pPr>
        <w:spacing w:line="480" w:lineRule="exact"/>
        <w:jc w:val="center"/>
        <w:outlineLvl w:val="0"/>
        <w:rPr>
          <w:rFonts w:ascii="黑体" w:hAnsi="黑体"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1"/>
        <w:tblW w:w="141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4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760" w:type="dxa"/>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13416" w:type="dxa"/>
          </w:tcPr>
          <w:p>
            <w:pPr>
              <w:tabs>
                <w:tab w:val="left" w:pos="4410"/>
              </w:tabs>
              <w:spacing w:line="480" w:lineRule="exact"/>
              <w:ind w:firstLine="480" w:firstLineChars="200"/>
              <w:rPr>
                <w:sz w:val="24"/>
              </w:rPr>
            </w:pPr>
            <w:r>
              <w:rPr>
                <w:rFonts w:hint="eastAsia"/>
                <w:sz w:val="24"/>
              </w:rPr>
              <w:t>项目固废产生情况详见下表。</w:t>
            </w:r>
          </w:p>
          <w:p>
            <w:pPr>
              <w:jc w:val="center"/>
              <w:rPr>
                <w:b/>
                <w:sz w:val="24"/>
              </w:rPr>
            </w:pPr>
            <w:r>
              <w:rPr>
                <w:b/>
                <w:sz w:val="24"/>
              </w:rPr>
              <w:t>表</w:t>
            </w:r>
            <w:r>
              <w:rPr>
                <w:rFonts w:hint="eastAsia"/>
                <w:b/>
                <w:sz w:val="24"/>
              </w:rPr>
              <w:t>4</w:t>
            </w:r>
            <w:r>
              <w:rPr>
                <w:b/>
                <w:sz w:val="24"/>
              </w:rPr>
              <w:t>-</w:t>
            </w:r>
            <w:r>
              <w:rPr>
                <w:rFonts w:hint="eastAsia"/>
                <w:b/>
                <w:sz w:val="24"/>
                <w:lang w:val="en-US" w:eastAsia="zh-CN"/>
              </w:rPr>
              <w:t>7</w:t>
            </w:r>
            <w:r>
              <w:rPr>
                <w:b/>
                <w:sz w:val="24"/>
              </w:rPr>
              <w:t xml:space="preserve">  项目固废产生情况汇总表</w:t>
            </w:r>
          </w:p>
          <w:tbl>
            <w:tblPr>
              <w:tblStyle w:val="21"/>
              <w:tblW w:w="13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328"/>
              <w:gridCol w:w="718"/>
              <w:gridCol w:w="1252"/>
              <w:gridCol w:w="1200"/>
              <w:gridCol w:w="752"/>
              <w:gridCol w:w="1060"/>
              <w:gridCol w:w="1281"/>
              <w:gridCol w:w="888"/>
              <w:gridCol w:w="796"/>
              <w:gridCol w:w="179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2" w:type="dxa"/>
                  <w:vAlign w:val="center"/>
                </w:tcPr>
                <w:p>
                  <w:pPr>
                    <w:jc w:val="center"/>
                    <w:rPr>
                      <w:b/>
                      <w:bCs/>
                    </w:rPr>
                  </w:pPr>
                  <w:r>
                    <w:rPr>
                      <w:rFonts w:hint="eastAsia"/>
                      <w:b/>
                      <w:bCs/>
                    </w:rPr>
                    <w:t>产生环节</w:t>
                  </w:r>
                </w:p>
              </w:tc>
              <w:tc>
                <w:tcPr>
                  <w:tcW w:w="1328" w:type="dxa"/>
                  <w:vAlign w:val="center"/>
                </w:tcPr>
                <w:p>
                  <w:pPr>
                    <w:jc w:val="center"/>
                    <w:rPr>
                      <w:b/>
                      <w:bCs/>
                    </w:rPr>
                  </w:pPr>
                  <w:r>
                    <w:rPr>
                      <w:rFonts w:hint="eastAsia"/>
                      <w:b/>
                      <w:bCs/>
                    </w:rPr>
                    <w:t>名称</w:t>
                  </w:r>
                </w:p>
              </w:tc>
              <w:tc>
                <w:tcPr>
                  <w:tcW w:w="718" w:type="dxa"/>
                  <w:vAlign w:val="center"/>
                </w:tcPr>
                <w:p>
                  <w:pPr>
                    <w:jc w:val="center"/>
                    <w:rPr>
                      <w:b/>
                      <w:bCs/>
                    </w:rPr>
                  </w:pPr>
                  <w:r>
                    <w:rPr>
                      <w:rFonts w:hint="eastAsia"/>
                      <w:b/>
                      <w:bCs/>
                    </w:rPr>
                    <w:t>属性</w:t>
                  </w:r>
                </w:p>
              </w:tc>
              <w:tc>
                <w:tcPr>
                  <w:tcW w:w="1252" w:type="dxa"/>
                  <w:vAlign w:val="center"/>
                </w:tcPr>
                <w:p>
                  <w:pPr>
                    <w:jc w:val="center"/>
                    <w:rPr>
                      <w:b/>
                      <w:bCs/>
                    </w:rPr>
                  </w:pPr>
                  <w:r>
                    <w:rPr>
                      <w:rFonts w:hint="eastAsia"/>
                      <w:b/>
                      <w:bCs/>
                    </w:rPr>
                    <w:t>代码</w:t>
                  </w:r>
                </w:p>
              </w:tc>
              <w:tc>
                <w:tcPr>
                  <w:tcW w:w="1200" w:type="dxa"/>
                  <w:vAlign w:val="center"/>
                </w:tcPr>
                <w:p>
                  <w:pPr>
                    <w:jc w:val="center"/>
                    <w:rPr>
                      <w:b/>
                      <w:bCs/>
                    </w:rPr>
                  </w:pPr>
                  <w:r>
                    <w:rPr>
                      <w:rFonts w:hint="eastAsia"/>
                      <w:b/>
                      <w:bCs/>
                    </w:rPr>
                    <w:t>主要有毒有害物质</w:t>
                  </w:r>
                </w:p>
              </w:tc>
              <w:tc>
                <w:tcPr>
                  <w:tcW w:w="752" w:type="dxa"/>
                  <w:vAlign w:val="center"/>
                </w:tcPr>
                <w:p>
                  <w:pPr>
                    <w:jc w:val="center"/>
                    <w:rPr>
                      <w:b/>
                      <w:bCs/>
                    </w:rPr>
                  </w:pPr>
                  <w:r>
                    <w:rPr>
                      <w:rFonts w:hint="eastAsia"/>
                      <w:b/>
                      <w:bCs/>
                    </w:rPr>
                    <w:t>物理性状</w:t>
                  </w:r>
                </w:p>
              </w:tc>
              <w:tc>
                <w:tcPr>
                  <w:tcW w:w="1060" w:type="dxa"/>
                  <w:vAlign w:val="center"/>
                </w:tcPr>
                <w:p>
                  <w:pPr>
                    <w:jc w:val="center"/>
                    <w:rPr>
                      <w:b/>
                      <w:bCs/>
                    </w:rPr>
                  </w:pPr>
                  <w:r>
                    <w:rPr>
                      <w:rFonts w:hint="eastAsia"/>
                      <w:b/>
                      <w:bCs/>
                    </w:rPr>
                    <w:t>环境危险</w:t>
                  </w:r>
                </w:p>
                <w:p>
                  <w:pPr>
                    <w:jc w:val="center"/>
                    <w:rPr>
                      <w:b/>
                      <w:bCs/>
                    </w:rPr>
                  </w:pPr>
                  <w:r>
                    <w:rPr>
                      <w:rFonts w:hint="eastAsia"/>
                      <w:b/>
                      <w:bCs/>
                    </w:rPr>
                    <w:t>特性</w:t>
                  </w:r>
                </w:p>
              </w:tc>
              <w:tc>
                <w:tcPr>
                  <w:tcW w:w="1281" w:type="dxa"/>
                  <w:vAlign w:val="center"/>
                </w:tcPr>
                <w:p>
                  <w:pPr>
                    <w:jc w:val="center"/>
                    <w:rPr>
                      <w:b/>
                      <w:bCs/>
                    </w:rPr>
                  </w:pPr>
                  <w:r>
                    <w:rPr>
                      <w:rFonts w:hint="eastAsia"/>
                      <w:b/>
                      <w:bCs/>
                    </w:rPr>
                    <w:t>产生量（t/a）</w:t>
                  </w:r>
                </w:p>
              </w:tc>
              <w:tc>
                <w:tcPr>
                  <w:tcW w:w="888" w:type="dxa"/>
                  <w:vAlign w:val="center"/>
                </w:tcPr>
                <w:p>
                  <w:pPr>
                    <w:jc w:val="center"/>
                    <w:rPr>
                      <w:b/>
                      <w:bCs/>
                    </w:rPr>
                  </w:pPr>
                  <w:r>
                    <w:rPr>
                      <w:rFonts w:hint="eastAsia"/>
                      <w:b/>
                      <w:bCs/>
                    </w:rPr>
                    <w:t>贮存方式</w:t>
                  </w:r>
                </w:p>
              </w:tc>
              <w:tc>
                <w:tcPr>
                  <w:tcW w:w="796" w:type="dxa"/>
                  <w:vAlign w:val="center"/>
                </w:tcPr>
                <w:p>
                  <w:pPr>
                    <w:jc w:val="center"/>
                    <w:rPr>
                      <w:b/>
                      <w:bCs/>
                    </w:rPr>
                  </w:pPr>
                  <w:r>
                    <w:rPr>
                      <w:rFonts w:hint="eastAsia"/>
                      <w:b/>
                      <w:bCs/>
                    </w:rPr>
                    <w:t>利用处置方式</w:t>
                  </w:r>
                </w:p>
              </w:tc>
              <w:tc>
                <w:tcPr>
                  <w:tcW w:w="1793" w:type="dxa"/>
                  <w:vAlign w:val="center"/>
                </w:tcPr>
                <w:p>
                  <w:pPr>
                    <w:jc w:val="center"/>
                    <w:rPr>
                      <w:b/>
                      <w:bCs/>
                    </w:rPr>
                  </w:pPr>
                  <w:r>
                    <w:rPr>
                      <w:rFonts w:hint="eastAsia"/>
                      <w:b/>
                      <w:bCs/>
                    </w:rPr>
                    <w:t>去向</w:t>
                  </w:r>
                </w:p>
              </w:tc>
              <w:tc>
                <w:tcPr>
                  <w:tcW w:w="865" w:type="dxa"/>
                  <w:vAlign w:val="center"/>
                </w:tcPr>
                <w:p>
                  <w:pPr>
                    <w:jc w:val="center"/>
                    <w:rPr>
                      <w:b/>
                      <w:bCs/>
                    </w:rPr>
                  </w:pPr>
                  <w:r>
                    <w:rPr>
                      <w:rFonts w:hint="eastAsia"/>
                      <w:b/>
                      <w:bCs/>
                    </w:rPr>
                    <w:t>利用/</w:t>
                  </w:r>
                </w:p>
                <w:p>
                  <w:pPr>
                    <w:jc w:val="center"/>
                    <w:rPr>
                      <w:b/>
                      <w:bCs/>
                    </w:rPr>
                  </w:pPr>
                  <w:r>
                    <w:rPr>
                      <w:rFonts w:hint="eastAsia"/>
                      <w:b/>
                      <w:bCs/>
                    </w:rPr>
                    <w:t>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2" w:type="dxa"/>
                  <w:vMerge w:val="restart"/>
                  <w:vAlign w:val="center"/>
                </w:tcPr>
                <w:p>
                  <w:pPr>
                    <w:autoSpaceDE w:val="0"/>
                    <w:autoSpaceDN w:val="0"/>
                    <w:adjustRightInd w:val="0"/>
                    <w:jc w:val="center"/>
                  </w:pPr>
                  <w:r>
                    <w:rPr>
                      <w:rFonts w:hint="eastAsia"/>
                    </w:rPr>
                    <w:t>化学实验</w:t>
                  </w:r>
                </w:p>
              </w:tc>
              <w:tc>
                <w:tcPr>
                  <w:tcW w:w="1328" w:type="dxa"/>
                  <w:vAlign w:val="center"/>
                </w:tcPr>
                <w:p>
                  <w:pPr>
                    <w:autoSpaceDE w:val="0"/>
                    <w:autoSpaceDN w:val="0"/>
                    <w:adjustRightInd w:val="0"/>
                    <w:jc w:val="center"/>
                  </w:pPr>
                  <w:r>
                    <w:rPr>
                      <w:szCs w:val="21"/>
                    </w:rPr>
                    <w:t>沾染危化品的废包装物及碎玻璃</w:t>
                  </w:r>
                </w:p>
              </w:tc>
              <w:tc>
                <w:tcPr>
                  <w:tcW w:w="718" w:type="dxa"/>
                  <w:vMerge w:val="restart"/>
                  <w:vAlign w:val="center"/>
                </w:tcPr>
                <w:p>
                  <w:pPr>
                    <w:autoSpaceDE w:val="0"/>
                    <w:autoSpaceDN w:val="0"/>
                    <w:adjustRightInd w:val="0"/>
                    <w:jc w:val="center"/>
                    <w:rPr>
                      <w:szCs w:val="21"/>
                    </w:rPr>
                  </w:pPr>
                  <w:r>
                    <w:rPr>
                      <w:szCs w:val="21"/>
                    </w:rPr>
                    <w:t>危险</w:t>
                  </w:r>
                </w:p>
                <w:p>
                  <w:pPr>
                    <w:autoSpaceDE w:val="0"/>
                    <w:autoSpaceDN w:val="0"/>
                    <w:adjustRightInd w:val="0"/>
                    <w:jc w:val="center"/>
                  </w:pPr>
                  <w:r>
                    <w:rPr>
                      <w:szCs w:val="21"/>
                    </w:rPr>
                    <w:t>废物</w:t>
                  </w:r>
                </w:p>
              </w:tc>
              <w:tc>
                <w:tcPr>
                  <w:tcW w:w="1252" w:type="dxa"/>
                  <w:vAlign w:val="center"/>
                </w:tcPr>
                <w:p>
                  <w:pPr>
                    <w:autoSpaceDE w:val="0"/>
                    <w:autoSpaceDN w:val="0"/>
                    <w:adjustRightInd w:val="0"/>
                    <w:jc w:val="center"/>
                    <w:rPr>
                      <w:color w:val="auto"/>
                      <w:szCs w:val="21"/>
                      <w:lang w:val="zh-CN"/>
                    </w:rPr>
                  </w:pPr>
                  <w:r>
                    <w:rPr>
                      <w:rFonts w:hint="eastAsia"/>
                      <w:color w:val="auto"/>
                      <w:szCs w:val="21"/>
                      <w:lang w:val="zh-CN"/>
                    </w:rPr>
                    <w:t>HW49</w:t>
                  </w:r>
                </w:p>
                <w:p>
                  <w:pPr>
                    <w:autoSpaceDE w:val="0"/>
                    <w:autoSpaceDN w:val="0"/>
                    <w:adjustRightInd w:val="0"/>
                    <w:jc w:val="center"/>
                    <w:rPr>
                      <w:color w:val="auto"/>
                      <w:szCs w:val="21"/>
                      <w:lang w:val="zh-CN"/>
                    </w:rPr>
                  </w:pPr>
                  <w:r>
                    <w:rPr>
                      <w:rFonts w:hint="eastAsia"/>
                      <w:color w:val="auto"/>
                      <w:szCs w:val="21"/>
                      <w:lang w:val="zh-CN"/>
                    </w:rPr>
                    <w:t>900-</w:t>
                  </w:r>
                  <w:r>
                    <w:rPr>
                      <w:rFonts w:hint="eastAsia"/>
                      <w:color w:val="auto"/>
                      <w:szCs w:val="21"/>
                    </w:rPr>
                    <w:t>047-49</w:t>
                  </w:r>
                </w:p>
              </w:tc>
              <w:tc>
                <w:tcPr>
                  <w:tcW w:w="1200" w:type="dxa"/>
                  <w:vAlign w:val="center"/>
                </w:tcPr>
                <w:p>
                  <w:pPr>
                    <w:autoSpaceDE w:val="0"/>
                    <w:autoSpaceDN w:val="0"/>
                    <w:adjustRightInd w:val="0"/>
                    <w:jc w:val="center"/>
                    <w:rPr>
                      <w:color w:val="auto"/>
                    </w:rPr>
                  </w:pPr>
                  <w:r>
                    <w:rPr>
                      <w:color w:val="auto"/>
                    </w:rPr>
                    <w:t>硫酸、氢氧化钠等危化品</w:t>
                  </w:r>
                </w:p>
              </w:tc>
              <w:tc>
                <w:tcPr>
                  <w:tcW w:w="752" w:type="dxa"/>
                  <w:vAlign w:val="center"/>
                </w:tcPr>
                <w:p>
                  <w:pPr>
                    <w:autoSpaceDE w:val="0"/>
                    <w:autoSpaceDN w:val="0"/>
                    <w:adjustRightInd w:val="0"/>
                    <w:jc w:val="center"/>
                    <w:rPr>
                      <w:color w:val="auto"/>
                    </w:rPr>
                  </w:pPr>
                  <w:r>
                    <w:rPr>
                      <w:color w:val="auto"/>
                    </w:rPr>
                    <w:t>固态</w:t>
                  </w:r>
                </w:p>
              </w:tc>
              <w:tc>
                <w:tcPr>
                  <w:tcW w:w="1060" w:type="dxa"/>
                  <w:vAlign w:val="center"/>
                </w:tcPr>
                <w:p>
                  <w:pPr>
                    <w:autoSpaceDE w:val="0"/>
                    <w:autoSpaceDN w:val="0"/>
                    <w:adjustRightInd w:val="0"/>
                    <w:jc w:val="center"/>
                    <w:rPr>
                      <w:color w:val="auto"/>
                    </w:rPr>
                  </w:pPr>
                  <w:r>
                    <w:rPr>
                      <w:color w:val="auto"/>
                    </w:rPr>
                    <w:t>T/In</w:t>
                  </w:r>
                </w:p>
              </w:tc>
              <w:tc>
                <w:tcPr>
                  <w:tcW w:w="1281" w:type="dxa"/>
                  <w:vAlign w:val="center"/>
                </w:tcPr>
                <w:p>
                  <w:pPr>
                    <w:autoSpaceDE w:val="0"/>
                    <w:autoSpaceDN w:val="0"/>
                    <w:adjustRightInd w:val="0"/>
                    <w:jc w:val="center"/>
                    <w:rPr>
                      <w:color w:val="auto"/>
                    </w:rPr>
                  </w:pPr>
                  <w:r>
                    <w:rPr>
                      <w:rFonts w:hint="eastAsia"/>
                      <w:color w:val="auto"/>
                    </w:rPr>
                    <w:t>0.05</w:t>
                  </w:r>
                </w:p>
              </w:tc>
              <w:tc>
                <w:tcPr>
                  <w:tcW w:w="888" w:type="dxa"/>
                  <w:vAlign w:val="center"/>
                </w:tcPr>
                <w:p>
                  <w:pPr>
                    <w:jc w:val="center"/>
                    <w:rPr>
                      <w:color w:val="auto"/>
                    </w:rPr>
                  </w:pPr>
                  <w:r>
                    <w:rPr>
                      <w:rFonts w:hint="eastAsia"/>
                      <w:color w:val="auto"/>
                    </w:rPr>
                    <w:t>桶装</w:t>
                  </w:r>
                </w:p>
              </w:tc>
              <w:tc>
                <w:tcPr>
                  <w:tcW w:w="796" w:type="dxa"/>
                  <w:vMerge w:val="restart"/>
                  <w:vAlign w:val="center"/>
                </w:tcPr>
                <w:p>
                  <w:pPr>
                    <w:autoSpaceDE w:val="0"/>
                    <w:autoSpaceDN w:val="0"/>
                    <w:adjustRightInd w:val="0"/>
                    <w:jc w:val="center"/>
                    <w:rPr>
                      <w:color w:val="auto"/>
                    </w:rPr>
                  </w:pPr>
                  <w:r>
                    <w:rPr>
                      <w:rFonts w:hint="eastAsia"/>
                      <w:color w:val="auto"/>
                    </w:rPr>
                    <w:t>委托</w:t>
                  </w:r>
                </w:p>
                <w:p>
                  <w:pPr>
                    <w:autoSpaceDE w:val="0"/>
                    <w:autoSpaceDN w:val="0"/>
                    <w:adjustRightInd w:val="0"/>
                    <w:jc w:val="center"/>
                    <w:rPr>
                      <w:color w:val="auto"/>
                    </w:rPr>
                  </w:pPr>
                  <w:r>
                    <w:rPr>
                      <w:rFonts w:hint="eastAsia"/>
                      <w:color w:val="auto"/>
                    </w:rPr>
                    <w:t>处置</w:t>
                  </w:r>
                </w:p>
              </w:tc>
              <w:tc>
                <w:tcPr>
                  <w:tcW w:w="1793" w:type="dxa"/>
                  <w:vMerge w:val="restart"/>
                  <w:vAlign w:val="center"/>
                </w:tcPr>
                <w:p>
                  <w:pPr>
                    <w:jc w:val="center"/>
                    <w:rPr>
                      <w:color w:val="auto"/>
                    </w:rPr>
                  </w:pPr>
                  <w:r>
                    <w:rPr>
                      <w:rFonts w:hint="eastAsia"/>
                      <w:color w:val="auto"/>
                      <w:kern w:val="0"/>
                      <w:szCs w:val="21"/>
                      <w:lang w:val="zh-CN"/>
                    </w:rPr>
                    <w:t>安徽珍昊环保科技有限公司</w:t>
                  </w:r>
                </w:p>
              </w:tc>
              <w:tc>
                <w:tcPr>
                  <w:tcW w:w="865" w:type="dxa"/>
                  <w:vAlign w:val="center"/>
                </w:tcPr>
                <w:p>
                  <w:pPr>
                    <w:autoSpaceDE w:val="0"/>
                    <w:autoSpaceDN w:val="0"/>
                    <w:adjustRightInd w:val="0"/>
                    <w:jc w:val="center"/>
                    <w:rPr>
                      <w:color w:val="auto"/>
                    </w:rPr>
                  </w:pPr>
                  <w:r>
                    <w:rPr>
                      <w:rFonts w:hint="eastAsia"/>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2" w:type="dxa"/>
                  <w:vMerge w:val="continue"/>
                  <w:vAlign w:val="center"/>
                </w:tcPr>
                <w:p>
                  <w:pPr>
                    <w:autoSpaceDE w:val="0"/>
                    <w:autoSpaceDN w:val="0"/>
                    <w:adjustRightInd w:val="0"/>
                    <w:jc w:val="center"/>
                  </w:pPr>
                </w:p>
              </w:tc>
              <w:tc>
                <w:tcPr>
                  <w:tcW w:w="1328" w:type="dxa"/>
                  <w:vAlign w:val="center"/>
                </w:tcPr>
                <w:p>
                  <w:pPr>
                    <w:autoSpaceDE w:val="0"/>
                    <w:autoSpaceDN w:val="0"/>
                    <w:adjustRightInd w:val="0"/>
                    <w:jc w:val="center"/>
                    <w:rPr>
                      <w:szCs w:val="21"/>
                    </w:rPr>
                  </w:pPr>
                  <w:r>
                    <w:rPr>
                      <w:rFonts w:hint="eastAsia"/>
                      <w:szCs w:val="21"/>
                    </w:rPr>
                    <w:t>过期失效的化学试剂</w:t>
                  </w:r>
                </w:p>
              </w:tc>
              <w:tc>
                <w:tcPr>
                  <w:tcW w:w="718" w:type="dxa"/>
                  <w:vMerge w:val="continue"/>
                  <w:vAlign w:val="center"/>
                </w:tcPr>
                <w:p>
                  <w:pPr>
                    <w:autoSpaceDE w:val="0"/>
                    <w:autoSpaceDN w:val="0"/>
                    <w:adjustRightInd w:val="0"/>
                    <w:jc w:val="center"/>
                    <w:rPr>
                      <w:szCs w:val="21"/>
                    </w:rPr>
                  </w:pPr>
                </w:p>
              </w:tc>
              <w:tc>
                <w:tcPr>
                  <w:tcW w:w="1252" w:type="dxa"/>
                  <w:vAlign w:val="center"/>
                </w:tcPr>
                <w:p>
                  <w:pPr>
                    <w:autoSpaceDE w:val="0"/>
                    <w:autoSpaceDN w:val="0"/>
                    <w:adjustRightInd w:val="0"/>
                    <w:jc w:val="center"/>
                    <w:rPr>
                      <w:color w:val="auto"/>
                      <w:szCs w:val="21"/>
                    </w:rPr>
                  </w:pPr>
                  <w:r>
                    <w:rPr>
                      <w:rFonts w:hint="eastAsia"/>
                      <w:color w:val="auto"/>
                      <w:szCs w:val="21"/>
                    </w:rPr>
                    <w:t>HW49</w:t>
                  </w:r>
                </w:p>
                <w:p>
                  <w:pPr>
                    <w:autoSpaceDE w:val="0"/>
                    <w:autoSpaceDN w:val="0"/>
                    <w:adjustRightInd w:val="0"/>
                    <w:jc w:val="center"/>
                    <w:rPr>
                      <w:color w:val="auto"/>
                      <w:szCs w:val="21"/>
                    </w:rPr>
                  </w:pPr>
                  <w:r>
                    <w:rPr>
                      <w:rFonts w:hint="eastAsia"/>
                      <w:color w:val="auto"/>
                      <w:szCs w:val="21"/>
                    </w:rPr>
                    <w:t>900-999-49</w:t>
                  </w:r>
                </w:p>
              </w:tc>
              <w:tc>
                <w:tcPr>
                  <w:tcW w:w="1200" w:type="dxa"/>
                  <w:vAlign w:val="center"/>
                </w:tcPr>
                <w:p>
                  <w:pPr>
                    <w:autoSpaceDE w:val="0"/>
                    <w:autoSpaceDN w:val="0"/>
                    <w:adjustRightInd w:val="0"/>
                    <w:jc w:val="center"/>
                    <w:rPr>
                      <w:color w:val="auto"/>
                    </w:rPr>
                  </w:pPr>
                  <w:r>
                    <w:rPr>
                      <w:color w:val="auto"/>
                    </w:rPr>
                    <w:t>硫酸、氢氧化钠等危化品</w:t>
                  </w:r>
                </w:p>
              </w:tc>
              <w:tc>
                <w:tcPr>
                  <w:tcW w:w="752" w:type="dxa"/>
                  <w:vAlign w:val="center"/>
                </w:tcPr>
                <w:p>
                  <w:pPr>
                    <w:autoSpaceDE w:val="0"/>
                    <w:autoSpaceDN w:val="0"/>
                    <w:adjustRightInd w:val="0"/>
                    <w:rPr>
                      <w:color w:val="auto"/>
                    </w:rPr>
                  </w:pPr>
                  <w:r>
                    <w:rPr>
                      <w:color w:val="auto"/>
                    </w:rPr>
                    <w:t>固态、液态</w:t>
                  </w:r>
                </w:p>
              </w:tc>
              <w:tc>
                <w:tcPr>
                  <w:tcW w:w="1060" w:type="dxa"/>
                  <w:vAlign w:val="center"/>
                </w:tcPr>
                <w:p>
                  <w:pPr>
                    <w:autoSpaceDE w:val="0"/>
                    <w:autoSpaceDN w:val="0"/>
                    <w:adjustRightInd w:val="0"/>
                    <w:jc w:val="center"/>
                    <w:rPr>
                      <w:color w:val="auto"/>
                    </w:rPr>
                  </w:pPr>
                  <w:r>
                    <w:rPr>
                      <w:color w:val="auto"/>
                      <w:szCs w:val="21"/>
                    </w:rPr>
                    <w:t>T/C/I/R</w:t>
                  </w:r>
                </w:p>
              </w:tc>
              <w:tc>
                <w:tcPr>
                  <w:tcW w:w="1281" w:type="dxa"/>
                  <w:vAlign w:val="center"/>
                </w:tcPr>
                <w:p>
                  <w:pPr>
                    <w:autoSpaceDE w:val="0"/>
                    <w:autoSpaceDN w:val="0"/>
                    <w:adjustRightInd w:val="0"/>
                    <w:jc w:val="center"/>
                    <w:rPr>
                      <w:rFonts w:hint="default" w:eastAsia="宋体"/>
                      <w:color w:val="auto"/>
                      <w:lang w:val="en-US" w:eastAsia="zh-CN"/>
                    </w:rPr>
                  </w:pPr>
                  <w:r>
                    <w:rPr>
                      <w:rFonts w:hint="eastAsia"/>
                      <w:color w:val="auto"/>
                    </w:rPr>
                    <w:t>0.00</w:t>
                  </w:r>
                  <w:r>
                    <w:rPr>
                      <w:rFonts w:hint="eastAsia"/>
                      <w:color w:val="auto"/>
                      <w:lang w:val="en-US" w:eastAsia="zh-CN"/>
                    </w:rPr>
                    <w:t>42</w:t>
                  </w:r>
                </w:p>
              </w:tc>
              <w:tc>
                <w:tcPr>
                  <w:tcW w:w="888" w:type="dxa"/>
                  <w:vAlign w:val="center"/>
                </w:tcPr>
                <w:p>
                  <w:pPr>
                    <w:jc w:val="center"/>
                    <w:rPr>
                      <w:color w:val="auto"/>
                    </w:rPr>
                  </w:pPr>
                  <w:r>
                    <w:rPr>
                      <w:rFonts w:hint="eastAsia"/>
                      <w:color w:val="auto"/>
                    </w:rPr>
                    <w:t>桶装</w:t>
                  </w:r>
                </w:p>
              </w:tc>
              <w:tc>
                <w:tcPr>
                  <w:tcW w:w="796" w:type="dxa"/>
                  <w:vMerge w:val="continue"/>
                  <w:vAlign w:val="center"/>
                </w:tcPr>
                <w:p>
                  <w:pPr>
                    <w:autoSpaceDE w:val="0"/>
                    <w:autoSpaceDN w:val="0"/>
                    <w:adjustRightInd w:val="0"/>
                    <w:jc w:val="center"/>
                    <w:rPr>
                      <w:color w:val="auto"/>
                    </w:rPr>
                  </w:pPr>
                </w:p>
              </w:tc>
              <w:tc>
                <w:tcPr>
                  <w:tcW w:w="1793" w:type="dxa"/>
                  <w:vMerge w:val="continue"/>
                  <w:vAlign w:val="center"/>
                </w:tcPr>
                <w:p>
                  <w:pPr>
                    <w:jc w:val="center"/>
                    <w:rPr>
                      <w:color w:val="auto"/>
                    </w:rPr>
                  </w:pPr>
                </w:p>
              </w:tc>
              <w:tc>
                <w:tcPr>
                  <w:tcW w:w="865" w:type="dxa"/>
                  <w:vAlign w:val="center"/>
                </w:tcPr>
                <w:p>
                  <w:pPr>
                    <w:autoSpaceDE w:val="0"/>
                    <w:autoSpaceDN w:val="0"/>
                    <w:adjustRightInd w:val="0"/>
                    <w:jc w:val="center"/>
                    <w:rPr>
                      <w:rFonts w:hint="default" w:eastAsia="宋体"/>
                      <w:color w:val="auto"/>
                      <w:lang w:val="en-US" w:eastAsia="zh-CN"/>
                    </w:rPr>
                  </w:pPr>
                  <w:r>
                    <w:rPr>
                      <w:rFonts w:hint="eastAsia"/>
                      <w:color w:val="auto"/>
                    </w:rPr>
                    <w:t>0.00</w:t>
                  </w:r>
                  <w:r>
                    <w:rPr>
                      <w:rFonts w:hint="eastAsia"/>
                      <w:color w:val="auto"/>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2" w:type="dxa"/>
                  <w:vMerge w:val="continue"/>
                  <w:vAlign w:val="center"/>
                </w:tcPr>
                <w:p>
                  <w:pPr>
                    <w:autoSpaceDE w:val="0"/>
                    <w:autoSpaceDN w:val="0"/>
                    <w:adjustRightInd w:val="0"/>
                    <w:jc w:val="center"/>
                  </w:pPr>
                </w:p>
              </w:tc>
              <w:tc>
                <w:tcPr>
                  <w:tcW w:w="1328" w:type="dxa"/>
                  <w:vAlign w:val="center"/>
                </w:tcPr>
                <w:p>
                  <w:pPr>
                    <w:autoSpaceDE w:val="0"/>
                    <w:autoSpaceDN w:val="0"/>
                    <w:adjustRightInd w:val="0"/>
                    <w:jc w:val="center"/>
                  </w:pPr>
                  <w:r>
                    <w:rPr>
                      <w:rFonts w:hint="eastAsia"/>
                      <w:szCs w:val="21"/>
                    </w:rPr>
                    <w:t>未沾染</w:t>
                  </w:r>
                  <w:r>
                    <w:rPr>
                      <w:szCs w:val="21"/>
                    </w:rPr>
                    <w:t>危化品的废包装物及碎玻璃</w:t>
                  </w:r>
                </w:p>
              </w:tc>
              <w:tc>
                <w:tcPr>
                  <w:tcW w:w="718" w:type="dxa"/>
                  <w:vAlign w:val="center"/>
                </w:tcPr>
                <w:p>
                  <w:pPr>
                    <w:pStyle w:val="13"/>
                    <w:spacing w:after="0" w:line="240" w:lineRule="auto"/>
                    <w:ind w:left="0" w:leftChars="0"/>
                    <w:jc w:val="center"/>
                    <w:rPr>
                      <w:sz w:val="21"/>
                      <w:szCs w:val="21"/>
                    </w:rPr>
                  </w:pPr>
                  <w:r>
                    <w:rPr>
                      <w:rFonts w:hint="eastAsia"/>
                      <w:sz w:val="21"/>
                      <w:szCs w:val="21"/>
                    </w:rPr>
                    <w:t>一般</w:t>
                  </w:r>
                </w:p>
                <w:p>
                  <w:pPr>
                    <w:pStyle w:val="13"/>
                    <w:spacing w:after="0" w:line="240" w:lineRule="auto"/>
                    <w:ind w:left="0" w:leftChars="0"/>
                    <w:jc w:val="center"/>
                  </w:pPr>
                  <w:r>
                    <w:rPr>
                      <w:rFonts w:hint="eastAsia"/>
                      <w:sz w:val="21"/>
                      <w:szCs w:val="21"/>
                    </w:rPr>
                    <w:t>固废</w:t>
                  </w:r>
                </w:p>
              </w:tc>
              <w:tc>
                <w:tcPr>
                  <w:tcW w:w="1252" w:type="dxa"/>
                  <w:vAlign w:val="center"/>
                </w:tcPr>
                <w:p>
                  <w:pPr>
                    <w:pStyle w:val="13"/>
                    <w:spacing w:line="240" w:lineRule="auto"/>
                    <w:ind w:left="0" w:leftChars="0"/>
                    <w:jc w:val="center"/>
                    <w:rPr>
                      <w:color w:val="FF0000"/>
                      <w:sz w:val="24"/>
                    </w:rPr>
                  </w:pPr>
                  <w:r>
                    <w:rPr>
                      <w:rFonts w:hint="eastAsia"/>
                      <w:sz w:val="24"/>
                    </w:rPr>
                    <w:t>/</w:t>
                  </w:r>
                </w:p>
              </w:tc>
              <w:tc>
                <w:tcPr>
                  <w:tcW w:w="1200" w:type="dxa"/>
                  <w:vAlign w:val="center"/>
                </w:tcPr>
                <w:p>
                  <w:pPr>
                    <w:autoSpaceDE w:val="0"/>
                    <w:autoSpaceDN w:val="0"/>
                    <w:adjustRightInd w:val="0"/>
                    <w:jc w:val="center"/>
                  </w:pPr>
                  <w:r>
                    <w:rPr>
                      <w:rFonts w:hint="eastAsia"/>
                    </w:rPr>
                    <w:t>/</w:t>
                  </w:r>
                </w:p>
              </w:tc>
              <w:tc>
                <w:tcPr>
                  <w:tcW w:w="752" w:type="dxa"/>
                  <w:vAlign w:val="center"/>
                </w:tcPr>
                <w:p>
                  <w:pPr>
                    <w:autoSpaceDE w:val="0"/>
                    <w:autoSpaceDN w:val="0"/>
                    <w:adjustRightInd w:val="0"/>
                    <w:jc w:val="center"/>
                  </w:pPr>
                  <w:r>
                    <w:t>固态</w:t>
                  </w:r>
                </w:p>
              </w:tc>
              <w:tc>
                <w:tcPr>
                  <w:tcW w:w="1060" w:type="dxa"/>
                  <w:vAlign w:val="center"/>
                </w:tcPr>
                <w:p>
                  <w:pPr>
                    <w:autoSpaceDE w:val="0"/>
                    <w:autoSpaceDN w:val="0"/>
                    <w:adjustRightInd w:val="0"/>
                    <w:jc w:val="center"/>
                  </w:pPr>
                  <w:r>
                    <w:rPr>
                      <w:rFonts w:hint="eastAsia"/>
                    </w:rPr>
                    <w:t>/</w:t>
                  </w:r>
                </w:p>
              </w:tc>
              <w:tc>
                <w:tcPr>
                  <w:tcW w:w="1281" w:type="dxa"/>
                  <w:vAlign w:val="center"/>
                </w:tcPr>
                <w:p>
                  <w:pPr>
                    <w:autoSpaceDE w:val="0"/>
                    <w:autoSpaceDN w:val="0"/>
                    <w:adjustRightInd w:val="0"/>
                    <w:jc w:val="center"/>
                  </w:pPr>
                  <w:r>
                    <w:rPr>
                      <w:rFonts w:hint="eastAsia"/>
                    </w:rPr>
                    <w:t>0.5</w:t>
                  </w:r>
                </w:p>
              </w:tc>
              <w:tc>
                <w:tcPr>
                  <w:tcW w:w="888" w:type="dxa"/>
                  <w:vAlign w:val="center"/>
                </w:tcPr>
                <w:p>
                  <w:pPr>
                    <w:jc w:val="center"/>
                  </w:pPr>
                  <w:r>
                    <w:rPr>
                      <w:rFonts w:hint="eastAsia"/>
                    </w:rPr>
                    <w:t>袋装</w:t>
                  </w:r>
                </w:p>
              </w:tc>
              <w:tc>
                <w:tcPr>
                  <w:tcW w:w="796" w:type="dxa"/>
                  <w:vMerge w:val="continue"/>
                  <w:vAlign w:val="center"/>
                </w:tcPr>
                <w:p>
                  <w:pPr>
                    <w:jc w:val="center"/>
                  </w:pPr>
                </w:p>
              </w:tc>
              <w:tc>
                <w:tcPr>
                  <w:tcW w:w="1793" w:type="dxa"/>
                  <w:vAlign w:val="center"/>
                </w:tcPr>
                <w:p>
                  <w:pPr>
                    <w:jc w:val="center"/>
                  </w:pPr>
                  <w:r>
                    <w:rPr>
                      <w:rFonts w:hint="eastAsia"/>
                    </w:rPr>
                    <w:t>分类收集，能回收利用的外售回收利用，不能回收利用的</w:t>
                  </w:r>
                  <w:r>
                    <w:rPr>
                      <w:rFonts w:hint="eastAsia"/>
                      <w:lang w:val="zh-CN"/>
                    </w:rPr>
                    <w:t>交由环卫部门清运</w:t>
                  </w:r>
                  <w:r>
                    <w:rPr>
                      <w:rFonts w:hint="eastAsia"/>
                    </w:rPr>
                    <w:t>至黄山市</w:t>
                  </w:r>
                  <w:r>
                    <w:t>生活垃圾</w:t>
                  </w:r>
                  <w:r>
                    <w:rPr>
                      <w:rFonts w:hint="eastAsia"/>
                    </w:rPr>
                    <w:t>综合处理</w:t>
                  </w:r>
                  <w:r>
                    <w:t>厂</w:t>
                  </w:r>
                  <w:r>
                    <w:rPr>
                      <w:rFonts w:hint="eastAsia"/>
                    </w:rPr>
                    <w:t>焚烧处置</w:t>
                  </w:r>
                </w:p>
              </w:tc>
              <w:tc>
                <w:tcPr>
                  <w:tcW w:w="865" w:type="dxa"/>
                  <w:vAlign w:val="center"/>
                </w:tcPr>
                <w:p>
                  <w:pPr>
                    <w:autoSpaceDE w:val="0"/>
                    <w:autoSpaceDN w:val="0"/>
                    <w:adjustRightInd w:val="0"/>
                    <w:jc w:val="center"/>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2" w:type="dxa"/>
                  <w:vAlign w:val="center"/>
                </w:tcPr>
                <w:p>
                  <w:pPr>
                    <w:autoSpaceDE w:val="0"/>
                    <w:autoSpaceDN w:val="0"/>
                    <w:adjustRightInd w:val="0"/>
                    <w:jc w:val="center"/>
                  </w:pPr>
                  <w:r>
                    <w:rPr>
                      <w:rFonts w:hint="eastAsia"/>
                    </w:rPr>
                    <w:t>师生生活</w:t>
                  </w:r>
                </w:p>
              </w:tc>
              <w:tc>
                <w:tcPr>
                  <w:tcW w:w="1328" w:type="dxa"/>
                  <w:vAlign w:val="center"/>
                </w:tcPr>
                <w:p>
                  <w:pPr>
                    <w:autoSpaceDE w:val="0"/>
                    <w:autoSpaceDN w:val="0"/>
                    <w:adjustRightInd w:val="0"/>
                    <w:jc w:val="center"/>
                  </w:pPr>
                  <w:r>
                    <w:rPr>
                      <w:rFonts w:hint="eastAsia"/>
                    </w:rPr>
                    <w:t>生活垃圾</w:t>
                  </w:r>
                </w:p>
              </w:tc>
              <w:tc>
                <w:tcPr>
                  <w:tcW w:w="718" w:type="dxa"/>
                  <w:vAlign w:val="center"/>
                </w:tcPr>
                <w:p>
                  <w:pPr>
                    <w:autoSpaceDE w:val="0"/>
                    <w:autoSpaceDN w:val="0"/>
                    <w:adjustRightInd w:val="0"/>
                    <w:jc w:val="center"/>
                  </w:pPr>
                  <w:r>
                    <w:rPr>
                      <w:rFonts w:hint="eastAsia"/>
                    </w:rPr>
                    <w:t>生活</w:t>
                  </w:r>
                </w:p>
                <w:p>
                  <w:pPr>
                    <w:autoSpaceDE w:val="0"/>
                    <w:autoSpaceDN w:val="0"/>
                    <w:adjustRightInd w:val="0"/>
                    <w:jc w:val="center"/>
                  </w:pPr>
                  <w:r>
                    <w:rPr>
                      <w:rFonts w:hint="eastAsia"/>
                    </w:rPr>
                    <w:t>垃圾</w:t>
                  </w:r>
                </w:p>
              </w:tc>
              <w:tc>
                <w:tcPr>
                  <w:tcW w:w="1252" w:type="dxa"/>
                  <w:vAlign w:val="center"/>
                </w:tcPr>
                <w:p>
                  <w:pPr>
                    <w:autoSpaceDE w:val="0"/>
                    <w:autoSpaceDN w:val="0"/>
                    <w:adjustRightInd w:val="0"/>
                    <w:jc w:val="center"/>
                    <w:rPr>
                      <w:color w:val="FF0000"/>
                    </w:rPr>
                  </w:pPr>
                  <w:r>
                    <w:rPr>
                      <w:rFonts w:hint="eastAsia"/>
                    </w:rPr>
                    <w:t>/</w:t>
                  </w:r>
                </w:p>
              </w:tc>
              <w:tc>
                <w:tcPr>
                  <w:tcW w:w="1200" w:type="dxa"/>
                  <w:vAlign w:val="center"/>
                </w:tcPr>
                <w:p>
                  <w:pPr>
                    <w:autoSpaceDE w:val="0"/>
                    <w:autoSpaceDN w:val="0"/>
                    <w:adjustRightInd w:val="0"/>
                    <w:jc w:val="center"/>
                  </w:pPr>
                  <w:r>
                    <w:rPr>
                      <w:rFonts w:hint="eastAsia"/>
                    </w:rPr>
                    <w:t>/</w:t>
                  </w:r>
                </w:p>
              </w:tc>
              <w:tc>
                <w:tcPr>
                  <w:tcW w:w="752" w:type="dxa"/>
                  <w:vAlign w:val="center"/>
                </w:tcPr>
                <w:p>
                  <w:pPr>
                    <w:autoSpaceDE w:val="0"/>
                    <w:autoSpaceDN w:val="0"/>
                    <w:adjustRightInd w:val="0"/>
                    <w:jc w:val="center"/>
                  </w:pPr>
                  <w:r>
                    <w:t>固态</w:t>
                  </w:r>
                </w:p>
              </w:tc>
              <w:tc>
                <w:tcPr>
                  <w:tcW w:w="1060" w:type="dxa"/>
                  <w:vAlign w:val="center"/>
                </w:tcPr>
                <w:p>
                  <w:pPr>
                    <w:autoSpaceDE w:val="0"/>
                    <w:autoSpaceDN w:val="0"/>
                    <w:adjustRightInd w:val="0"/>
                    <w:jc w:val="center"/>
                  </w:pPr>
                  <w:r>
                    <w:rPr>
                      <w:rFonts w:hint="eastAsia"/>
                    </w:rPr>
                    <w:t>/</w:t>
                  </w:r>
                </w:p>
              </w:tc>
              <w:tc>
                <w:tcPr>
                  <w:tcW w:w="1281" w:type="dxa"/>
                  <w:vAlign w:val="center"/>
                </w:tcPr>
                <w:p>
                  <w:pPr>
                    <w:autoSpaceDE w:val="0"/>
                    <w:autoSpaceDN w:val="0"/>
                    <w:adjustRightInd w:val="0"/>
                    <w:jc w:val="center"/>
                  </w:pPr>
                  <w:r>
                    <w:rPr>
                      <w:rFonts w:hint="eastAsia"/>
                    </w:rPr>
                    <w:t>195</w:t>
                  </w:r>
                </w:p>
              </w:tc>
              <w:tc>
                <w:tcPr>
                  <w:tcW w:w="888" w:type="dxa"/>
                  <w:vAlign w:val="center"/>
                </w:tcPr>
                <w:p>
                  <w:pPr>
                    <w:jc w:val="center"/>
                  </w:pPr>
                  <w:r>
                    <w:rPr>
                      <w:rFonts w:hint="eastAsia"/>
                    </w:rPr>
                    <w:t>垃圾桶</w:t>
                  </w:r>
                </w:p>
              </w:tc>
              <w:tc>
                <w:tcPr>
                  <w:tcW w:w="796" w:type="dxa"/>
                  <w:vMerge w:val="continue"/>
                  <w:vAlign w:val="center"/>
                </w:tcPr>
                <w:p>
                  <w:pPr>
                    <w:jc w:val="center"/>
                  </w:pPr>
                </w:p>
              </w:tc>
              <w:tc>
                <w:tcPr>
                  <w:tcW w:w="1793" w:type="dxa"/>
                  <w:vAlign w:val="center"/>
                </w:tcPr>
                <w:p>
                  <w:pPr>
                    <w:jc w:val="center"/>
                  </w:pPr>
                  <w:r>
                    <w:rPr>
                      <w:rFonts w:hint="eastAsia"/>
                    </w:rPr>
                    <w:t>分类收集，能回收利用的外售回收利用，不能回收利用的</w:t>
                  </w:r>
                  <w:r>
                    <w:rPr>
                      <w:rFonts w:hint="eastAsia"/>
                      <w:lang w:val="zh-CN"/>
                    </w:rPr>
                    <w:t>交由环卫部门清运</w:t>
                  </w:r>
                  <w:r>
                    <w:rPr>
                      <w:rFonts w:hint="eastAsia"/>
                    </w:rPr>
                    <w:t>至黄山市</w:t>
                  </w:r>
                  <w:r>
                    <w:t>生活垃圾</w:t>
                  </w:r>
                  <w:r>
                    <w:rPr>
                      <w:rFonts w:hint="eastAsia"/>
                    </w:rPr>
                    <w:t>综合处理</w:t>
                  </w:r>
                  <w:r>
                    <w:t>厂</w:t>
                  </w:r>
                  <w:r>
                    <w:rPr>
                      <w:rFonts w:hint="eastAsia"/>
                    </w:rPr>
                    <w:t>焚烧处置</w:t>
                  </w:r>
                </w:p>
              </w:tc>
              <w:tc>
                <w:tcPr>
                  <w:tcW w:w="865" w:type="dxa"/>
                  <w:vAlign w:val="center"/>
                </w:tcPr>
                <w:p>
                  <w:pPr>
                    <w:autoSpaceDE w:val="0"/>
                    <w:autoSpaceDN w:val="0"/>
                    <w:adjustRightInd w:val="0"/>
                    <w:jc w:val="center"/>
                  </w:pPr>
                  <w:r>
                    <w:rPr>
                      <w:rFonts w:hint="eastAsia"/>
                    </w:rPr>
                    <w:t>2.60</w:t>
                  </w:r>
                </w:p>
              </w:tc>
            </w:tr>
          </w:tbl>
          <w:p>
            <w:pPr>
              <w:adjustRightInd w:val="0"/>
              <w:spacing w:beforeLines="100" w:line="360" w:lineRule="auto"/>
              <w:ind w:firstLine="420" w:firstLineChars="200"/>
            </w:pPr>
          </w:p>
        </w:tc>
      </w:tr>
    </w:tbl>
    <w:p>
      <w:pPr>
        <w:spacing w:line="480" w:lineRule="exact"/>
        <w:outlineLvl w:val="0"/>
        <w:rPr>
          <w:rFonts w:ascii="黑体" w:hAnsi="黑体" w:eastAsia="黑体"/>
          <w:snapToGrid w:val="0"/>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5" w:hRule="atLeast"/>
        </w:trPr>
        <w:tc>
          <w:tcPr>
            <w:tcW w:w="532" w:type="dxa"/>
          </w:tcPr>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adjustRightInd w:val="0"/>
              <w:snapToGrid w:val="0"/>
              <w:rPr>
                <w:bCs/>
                <w:sz w:val="24"/>
              </w:rPr>
            </w:pPr>
          </w:p>
          <w:p>
            <w:pPr>
              <w:rPr>
                <w:sz w:val="24"/>
              </w:rPr>
            </w:pPr>
            <w:r>
              <w:rPr>
                <w:sz w:val="24"/>
              </w:rPr>
              <w:t>运营</w:t>
            </w:r>
          </w:p>
          <w:p>
            <w:pPr>
              <w:rPr>
                <w:sz w:val="24"/>
              </w:rPr>
            </w:pPr>
            <w:r>
              <w:rPr>
                <w:sz w:val="24"/>
              </w:rPr>
              <w:t>期环</w:t>
            </w:r>
          </w:p>
          <w:p>
            <w:pPr>
              <w:rPr>
                <w:sz w:val="24"/>
              </w:rPr>
            </w:pPr>
            <w:r>
              <w:rPr>
                <w:sz w:val="24"/>
              </w:rPr>
              <w:t>境影</w:t>
            </w:r>
          </w:p>
          <w:p>
            <w:pPr>
              <w:rPr>
                <w:sz w:val="24"/>
              </w:rPr>
            </w:pPr>
            <w:r>
              <w:rPr>
                <w:sz w:val="24"/>
              </w:rPr>
              <w:t>响和</w:t>
            </w:r>
          </w:p>
          <w:p>
            <w:pPr>
              <w:rPr>
                <w:sz w:val="24"/>
              </w:rPr>
            </w:pPr>
            <w:r>
              <w:rPr>
                <w:sz w:val="24"/>
              </w:rPr>
              <w:t>保护</w:t>
            </w:r>
          </w:p>
          <w:p>
            <w:pPr>
              <w:rPr>
                <w:rStyle w:val="30"/>
              </w:rPr>
            </w:pPr>
            <w:bookmarkStart w:id="13" w:name="_Toc30712"/>
            <w:r>
              <w:rPr>
                <w:sz w:val="24"/>
              </w:rPr>
              <w:t>措施</w:t>
            </w:r>
            <w:bookmarkEnd w:id="13"/>
          </w:p>
        </w:tc>
        <w:tc>
          <w:tcPr>
            <w:tcW w:w="8528" w:type="dxa"/>
          </w:tcPr>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kern w:val="0"/>
                <w:sz w:val="24"/>
                <w:szCs w:val="20"/>
                <w:lang w:val="en-CA" w:eastAsia="zh-CN"/>
              </w:rPr>
              <w:t>（</w:t>
            </w:r>
            <w:r>
              <w:rPr>
                <w:rFonts w:hint="eastAsia"/>
                <w:color w:val="auto"/>
                <w:kern w:val="0"/>
                <w:sz w:val="24"/>
                <w:szCs w:val="20"/>
                <w:lang w:val="en-US" w:eastAsia="zh-CN"/>
              </w:rPr>
              <w:t>2）</w:t>
            </w:r>
            <w:r>
              <w:rPr>
                <w:color w:val="auto"/>
                <w:sz w:val="24"/>
              </w:rPr>
              <w:t>危险固废贮存场所能力可行性分析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危废</w:t>
            </w:r>
            <w:r>
              <w:rPr>
                <w:rFonts w:hint="eastAsia"/>
                <w:color w:val="auto"/>
                <w:sz w:val="24"/>
                <w:lang w:val="en-US" w:eastAsia="zh-CN"/>
              </w:rPr>
              <w:t>暂存间</w:t>
            </w:r>
            <w:r>
              <w:rPr>
                <w:color w:val="auto"/>
                <w:sz w:val="24"/>
              </w:rPr>
              <w:t>建筑面积</w:t>
            </w:r>
            <w:r>
              <w:rPr>
                <w:rFonts w:hint="eastAsia"/>
                <w:color w:val="auto"/>
                <w:sz w:val="24"/>
                <w:lang w:val="en-US" w:eastAsia="zh-CN"/>
              </w:rPr>
              <w:t>5</w:t>
            </w:r>
            <w:r>
              <w:rPr>
                <w:color w:val="auto"/>
                <w:sz w:val="24"/>
              </w:rPr>
              <w:t>m</w:t>
            </w:r>
            <w:r>
              <w:rPr>
                <w:color w:val="auto"/>
                <w:sz w:val="24"/>
                <w:vertAlign w:val="superscript"/>
              </w:rPr>
              <w:t>2</w:t>
            </w:r>
            <w:r>
              <w:rPr>
                <w:color w:val="auto"/>
                <w:sz w:val="24"/>
              </w:rPr>
              <w:t>，层高</w:t>
            </w:r>
            <w:r>
              <w:rPr>
                <w:rFonts w:hint="eastAsia"/>
                <w:color w:val="auto"/>
                <w:sz w:val="24"/>
                <w:lang w:val="en-US" w:eastAsia="zh-CN"/>
              </w:rPr>
              <w:t>3.6</w:t>
            </w:r>
            <w:r>
              <w:rPr>
                <w:color w:val="auto"/>
                <w:sz w:val="24"/>
              </w:rPr>
              <w:t>m。</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kern w:val="0"/>
                <w:sz w:val="24"/>
                <w:szCs w:val="20"/>
                <w:lang w:val="en-US" w:eastAsia="zh-CN"/>
              </w:rPr>
            </w:pPr>
            <w:r>
              <w:rPr>
                <w:rFonts w:hint="eastAsia"/>
                <w:color w:val="auto"/>
                <w:sz w:val="24"/>
                <w:lang w:val="en-US" w:eastAsia="zh-CN"/>
              </w:rPr>
              <w:t>过期失效的化学试剂的</w:t>
            </w:r>
            <w:r>
              <w:rPr>
                <w:rFonts w:hint="eastAsia"/>
                <w:color w:val="auto"/>
                <w:sz w:val="24"/>
              </w:rPr>
              <w:t>产生量为0.0</w:t>
            </w:r>
            <w:r>
              <w:rPr>
                <w:rFonts w:hint="eastAsia"/>
                <w:color w:val="auto"/>
                <w:sz w:val="24"/>
                <w:lang w:val="en-US" w:eastAsia="zh-CN"/>
              </w:rPr>
              <w:t>042</w:t>
            </w:r>
            <w:r>
              <w:rPr>
                <w:rFonts w:hint="eastAsia"/>
                <w:color w:val="auto"/>
                <w:sz w:val="24"/>
              </w:rPr>
              <w:t>t/a，</w:t>
            </w:r>
            <w:r>
              <w:rPr>
                <w:rFonts w:hint="eastAsia"/>
                <w:color w:val="auto"/>
                <w:sz w:val="24"/>
                <w:lang w:val="en-US" w:eastAsia="zh-CN"/>
              </w:rPr>
              <w:t>沾染危化品的废包装物及碎玻璃的</w:t>
            </w:r>
            <w:r>
              <w:rPr>
                <w:rFonts w:hint="eastAsia"/>
                <w:color w:val="auto"/>
                <w:sz w:val="24"/>
              </w:rPr>
              <w:t>产生</w:t>
            </w:r>
            <w:r>
              <w:rPr>
                <w:rFonts w:hint="eastAsia"/>
                <w:color w:val="auto"/>
                <w:sz w:val="24"/>
                <w:lang w:val="en-US" w:eastAsia="zh-CN"/>
              </w:rPr>
              <w:t>量</w:t>
            </w:r>
            <w:r>
              <w:rPr>
                <w:rFonts w:hint="eastAsia"/>
                <w:color w:val="auto"/>
                <w:sz w:val="24"/>
              </w:rPr>
              <w:t>为0.0</w:t>
            </w:r>
            <w:r>
              <w:rPr>
                <w:rFonts w:hint="eastAsia"/>
                <w:color w:val="auto"/>
                <w:sz w:val="24"/>
                <w:lang w:val="en-US" w:eastAsia="zh-CN"/>
              </w:rPr>
              <w:t>5</w:t>
            </w:r>
            <w:r>
              <w:rPr>
                <w:rFonts w:hint="eastAsia"/>
                <w:color w:val="auto"/>
                <w:sz w:val="24"/>
              </w:rPr>
              <w:t>t/a，均为桶装（20kg/桶），直径为0.4m，高0.2m。本项目危废暂存间设置</w:t>
            </w:r>
            <w:r>
              <w:rPr>
                <w:rFonts w:hint="eastAsia"/>
                <w:color w:val="auto"/>
                <w:sz w:val="24"/>
                <w:lang w:val="en-US" w:eastAsia="zh-CN"/>
              </w:rPr>
              <w:t>过期失效的化学试剂</w:t>
            </w:r>
            <w:r>
              <w:rPr>
                <w:rFonts w:hint="eastAsia"/>
                <w:color w:val="auto"/>
                <w:sz w:val="24"/>
              </w:rPr>
              <w:t>、</w:t>
            </w:r>
            <w:r>
              <w:rPr>
                <w:rFonts w:hint="eastAsia"/>
                <w:color w:val="auto"/>
                <w:sz w:val="24"/>
                <w:lang w:val="en-US" w:eastAsia="zh-CN"/>
              </w:rPr>
              <w:t>沾染危化品的废包装物及碎玻璃</w:t>
            </w:r>
            <w:r>
              <w:rPr>
                <w:rFonts w:hint="eastAsia"/>
                <w:color w:val="auto"/>
                <w:sz w:val="24"/>
              </w:rPr>
              <w:t>的贮存区，面积为1</w:t>
            </w:r>
            <w:r>
              <w:rPr>
                <w:color w:val="auto"/>
                <w:sz w:val="24"/>
              </w:rPr>
              <w:t>m</w:t>
            </w:r>
            <w:r>
              <w:rPr>
                <w:color w:val="auto"/>
                <w:sz w:val="24"/>
                <w:vertAlign w:val="superscript"/>
              </w:rPr>
              <w:t>2</w:t>
            </w:r>
            <w:r>
              <w:rPr>
                <w:rFonts w:hint="eastAsia"/>
                <w:color w:val="auto"/>
                <w:sz w:val="24"/>
              </w:rPr>
              <w:t>（1m</w:t>
            </w:r>
            <w:r>
              <w:rPr>
                <w:color w:val="auto"/>
                <w:sz w:val="24"/>
              </w:rPr>
              <w:t>×</w:t>
            </w:r>
            <w:r>
              <w:rPr>
                <w:rFonts w:hint="eastAsia"/>
                <w:color w:val="auto"/>
                <w:sz w:val="24"/>
              </w:rPr>
              <w:t>1m）(1排2个，1排，2层)，最多可贮存废机油、废液压油0.08t，大于</w:t>
            </w:r>
            <w:r>
              <w:rPr>
                <w:rFonts w:hint="eastAsia"/>
                <w:color w:val="auto"/>
                <w:sz w:val="24"/>
                <w:lang w:val="en-US" w:eastAsia="zh-CN"/>
              </w:rPr>
              <w:t>过期失效的化学试剂</w:t>
            </w:r>
            <w:r>
              <w:rPr>
                <w:rFonts w:hint="eastAsia"/>
                <w:color w:val="auto"/>
                <w:sz w:val="24"/>
              </w:rPr>
              <w:t>、</w:t>
            </w:r>
            <w:r>
              <w:rPr>
                <w:rFonts w:hint="eastAsia"/>
                <w:color w:val="auto"/>
                <w:sz w:val="24"/>
                <w:lang w:val="en-US" w:eastAsia="zh-CN"/>
              </w:rPr>
              <w:t>沾染危化品的废包装物及碎玻璃</w:t>
            </w:r>
            <w:r>
              <w:rPr>
                <w:rFonts w:hint="eastAsia"/>
                <w:color w:val="auto"/>
                <w:sz w:val="24"/>
              </w:rPr>
              <w:t>产生量共计0.0</w:t>
            </w:r>
            <w:r>
              <w:rPr>
                <w:rFonts w:hint="eastAsia"/>
                <w:color w:val="auto"/>
                <w:sz w:val="24"/>
                <w:lang w:val="en-US" w:eastAsia="zh-CN"/>
              </w:rPr>
              <w:t>542</w:t>
            </w:r>
            <w:r>
              <w:rPr>
                <w:rFonts w:hint="eastAsia"/>
                <w:color w:val="auto"/>
                <w:sz w:val="24"/>
              </w:rPr>
              <w:t>t/a，故能够满足</w:t>
            </w:r>
            <w:r>
              <w:rPr>
                <w:rFonts w:hint="eastAsia"/>
                <w:color w:val="auto"/>
                <w:sz w:val="24"/>
                <w:lang w:val="en-US" w:eastAsia="zh-CN"/>
              </w:rPr>
              <w:t>过期失效的化学试剂</w:t>
            </w:r>
            <w:r>
              <w:rPr>
                <w:rFonts w:hint="eastAsia"/>
                <w:color w:val="auto"/>
                <w:sz w:val="24"/>
              </w:rPr>
              <w:t>、</w:t>
            </w:r>
            <w:r>
              <w:rPr>
                <w:rFonts w:hint="eastAsia"/>
                <w:color w:val="auto"/>
                <w:sz w:val="24"/>
                <w:lang w:val="en-US" w:eastAsia="zh-CN"/>
              </w:rPr>
              <w:t>沾染危化品的废包装物及碎玻璃</w:t>
            </w:r>
            <w:r>
              <w:rPr>
                <w:rFonts w:hint="eastAsia"/>
                <w:color w:val="auto"/>
                <w:sz w:val="24"/>
              </w:rPr>
              <w:t>的贮存要求。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0"/>
                <w:sz w:val="24"/>
                <w:szCs w:val="20"/>
                <w:lang w:val="en-CA"/>
              </w:rPr>
            </w:pPr>
            <w:r>
              <w:rPr>
                <w:rFonts w:hint="eastAsia"/>
                <w:color w:val="auto"/>
                <w:kern w:val="0"/>
                <w:sz w:val="24"/>
                <w:szCs w:val="20"/>
                <w:lang w:val="en-CA"/>
              </w:rPr>
              <w:t>（</w:t>
            </w:r>
            <w:r>
              <w:rPr>
                <w:rFonts w:hint="eastAsia"/>
                <w:color w:val="auto"/>
                <w:kern w:val="0"/>
                <w:sz w:val="24"/>
                <w:szCs w:val="20"/>
                <w:lang w:val="en-US" w:eastAsia="zh-CN"/>
              </w:rPr>
              <w:t>3</w:t>
            </w:r>
            <w:r>
              <w:rPr>
                <w:rFonts w:hint="eastAsia"/>
                <w:color w:val="auto"/>
                <w:kern w:val="0"/>
                <w:sz w:val="24"/>
                <w:szCs w:val="20"/>
                <w:lang w:val="en-CA"/>
              </w:rPr>
              <w:t>）危废处理处置去向及合理性分析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0"/>
                <w:sz w:val="24"/>
                <w:szCs w:val="20"/>
                <w:lang w:val="en-CA"/>
              </w:rPr>
            </w:pPr>
            <w:r>
              <w:rPr>
                <w:rFonts w:hint="eastAsia"/>
                <w:color w:val="auto"/>
                <w:kern w:val="0"/>
                <w:sz w:val="24"/>
                <w:szCs w:val="20"/>
                <w:lang w:val="en-CA"/>
              </w:rPr>
              <w:t>根据危险废物源强，结合黄山市及周边地区危险废物处置单位分布情况，对本项目危险废物处置情况进行分析。根据调查资料，歙县循环经济园、徽州区循环经济园内其他工业企业常用危废处置单位有安徽珍昊环保科技有限公司，因本项目危废产生量较小，考虑配合其他工业企业联合运输方式，故选择安徽珍昊环保科技有限公司处置本项目危险废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0"/>
                <w:sz w:val="24"/>
                <w:szCs w:val="20"/>
                <w:lang w:val="en-CA"/>
              </w:rPr>
            </w:pPr>
            <w:r>
              <w:rPr>
                <w:rFonts w:hint="eastAsia"/>
                <w:color w:val="auto"/>
                <w:kern w:val="0"/>
                <w:sz w:val="24"/>
                <w:szCs w:val="20"/>
                <w:lang w:val="en-CA"/>
              </w:rPr>
              <w:t>根据安徽省生态环境厅门户网站公开信息，</w:t>
            </w:r>
            <w:r>
              <w:rPr>
                <w:rFonts w:hint="eastAsia"/>
                <w:color w:val="auto"/>
                <w:kern w:val="0"/>
                <w:sz w:val="24"/>
                <w:szCs w:val="20"/>
              </w:rPr>
              <w:t>2021年4月13日发布</w:t>
            </w:r>
            <w:r>
              <w:rPr>
                <w:rFonts w:hint="eastAsia"/>
                <w:color w:val="auto"/>
                <w:kern w:val="0"/>
                <w:sz w:val="24"/>
                <w:szCs w:val="20"/>
                <w:lang w:val="en-CA"/>
              </w:rPr>
              <w:t>《安徽省生态环境厅关于同意安徽珍昊环保科技有限公司危险废物经营许可证变更的函》（皖环函[2021]299号）中相关内容可知，安徽珍昊环保科技有限公司危险废物经营许可证（编号：341126003），经营危险废物类别代码为HW02—HW09、HW11—HW13、HW16—HW19、HW22—HW24、HW31、HW34、HW35、HW37—HW39、HW45、HW46、HW48—HW50共计29大类、284小类，其中HW</w:t>
            </w:r>
            <w:r>
              <w:rPr>
                <w:rFonts w:hint="eastAsia"/>
                <w:color w:val="auto"/>
                <w:kern w:val="0"/>
                <w:sz w:val="24"/>
                <w:szCs w:val="20"/>
              </w:rPr>
              <w:t>49类含本项目产生的危废代码为900-047-49、900-999-49的危险废物，</w:t>
            </w:r>
            <w:r>
              <w:rPr>
                <w:rFonts w:hint="eastAsia"/>
                <w:color w:val="auto"/>
                <w:kern w:val="0"/>
                <w:sz w:val="24"/>
                <w:szCs w:val="20"/>
                <w:lang w:val="en-CA"/>
              </w:rPr>
              <w:t>经营方式为收集、贮存、处置，经营设施地址为滁州市凤阳县刘府镇凤阳中都水泥有限公司院内，经营规模为12万吨/年，有效期至2025年12月8日。 因本项目危废产量仅为</w:t>
            </w:r>
            <w:r>
              <w:rPr>
                <w:rFonts w:hint="eastAsia"/>
                <w:color w:val="auto"/>
                <w:kern w:val="0"/>
                <w:sz w:val="24"/>
                <w:szCs w:val="20"/>
              </w:rPr>
              <w:t>0.055</w:t>
            </w:r>
            <w:r>
              <w:rPr>
                <w:rFonts w:hint="eastAsia"/>
                <w:color w:val="auto"/>
                <w:kern w:val="0"/>
                <w:sz w:val="24"/>
                <w:szCs w:val="20"/>
                <w:lang w:val="en-CA"/>
              </w:rPr>
              <w:t>吨/年，安徽珍昊环保科技有限公司有余量处理本项目产生的危废，故本项目危废处置去向合理可行。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w:t>
            </w:r>
            <w:r>
              <w:rPr>
                <w:rFonts w:hint="eastAsia"/>
                <w:color w:val="auto"/>
                <w:sz w:val="24"/>
                <w:lang w:val="en-US" w:eastAsia="zh-CN"/>
              </w:rPr>
              <w:t>4</w:t>
            </w:r>
            <w:r>
              <w:rPr>
                <w:rFonts w:hint="eastAsia"/>
                <w:color w:val="auto"/>
                <w:sz w:val="24"/>
              </w:rPr>
              <w:t>）环境管理要求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kern w:val="0"/>
                <w:sz w:val="24"/>
              </w:rPr>
            </w:pPr>
            <w:r>
              <w:rPr>
                <w:rFonts w:hint="eastAsia" w:ascii="宋体" w:hAnsi="宋体" w:cs="宋体"/>
                <w:kern w:val="0"/>
                <w:sz w:val="24"/>
              </w:rPr>
              <w:t>①本项目在实验室内</w:t>
            </w:r>
            <w:r>
              <w:rPr>
                <w:kern w:val="0"/>
                <w:sz w:val="24"/>
              </w:rPr>
              <w:t>分隔一间危废暂存间，面积5m</w:t>
            </w:r>
            <w:r>
              <w:rPr>
                <w:kern w:val="0"/>
                <w:sz w:val="24"/>
                <w:vertAlign w:val="superscript"/>
              </w:rPr>
              <w:t>2</w:t>
            </w:r>
            <w:r>
              <w:rPr>
                <w:rFonts w:hint="eastAsia"/>
                <w:kern w:val="0"/>
                <w:sz w:val="24"/>
              </w:rPr>
              <w:t>。</w:t>
            </w:r>
            <w:r>
              <w:rPr>
                <w:kern w:val="0"/>
                <w:sz w:val="24"/>
              </w:rPr>
              <w:t>危废暂存间</w:t>
            </w:r>
            <w:r>
              <w:rPr>
                <w:rFonts w:hint="eastAsia" w:ascii="宋体" w:hAnsi="宋体" w:cs="宋体"/>
                <w:kern w:val="0"/>
                <w:sz w:val="24"/>
              </w:rPr>
              <w:t>建设按照</w:t>
            </w:r>
            <w:r>
              <w:rPr>
                <w:rFonts w:hint="eastAsia"/>
                <w:sz w:val="24"/>
              </w:rPr>
              <w:t>按照《危险废物贮存污染控制标准》（GB18597-2001）及其2013年修改单的规定要求建设，并贴标识牌，</w:t>
            </w:r>
            <w:r>
              <w:rPr>
                <w:rFonts w:hint="eastAsia" w:ascii="宋体" w:hAnsi="宋体" w:cs="宋体"/>
                <w:kern w:val="0"/>
                <w:sz w:val="24"/>
              </w:rPr>
              <w:t>满足“五防”（防风、防雨、防晒、防盗、防渗漏）要求。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kern w:val="0"/>
                <w:sz w:val="24"/>
              </w:rPr>
              <w:t>②危废在危废暂存间暂存时必须分类贮存，并贴标识牌，不同危废贮存点之间设置物理隔断。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kern w:val="0"/>
                <w:sz w:val="24"/>
              </w:rPr>
            </w:pPr>
            <w:r>
              <w:rPr>
                <w:rFonts w:hint="eastAsia" w:ascii="宋体" w:hAnsi="宋体" w:cs="宋体"/>
                <w:kern w:val="0"/>
                <w:sz w:val="24"/>
              </w:rPr>
              <w:t>③危险废物</w:t>
            </w:r>
            <w:r>
              <w:rPr>
                <w:rFonts w:hint="eastAsia"/>
                <w:sz w:val="24"/>
              </w:rPr>
              <w:t>制定双人双锁管理制度，危废台账记录进出危废暂存间的危废种类、数量等信息。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kern w:val="0"/>
                <w:sz w:val="24"/>
              </w:rPr>
              <w:t>④与有相应危废处置资质的单位签订危废协议，并按照《危险废物转移联单管理办法》要求转移危险废物，最大转运周期为一年。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ascii="宋体" w:hAnsi="宋体" w:cs="宋体"/>
                <w:kern w:val="0"/>
                <w:sz w:val="24"/>
              </w:rPr>
              <w:t>⑤危险废物厂外运输委托有危险废物资质承运单位转运。</w:t>
            </w:r>
          </w:p>
          <w:p>
            <w:pPr>
              <w:keepNext w:val="0"/>
              <w:keepLines w:val="0"/>
              <w:pageBreakBefore w:val="0"/>
              <w:kinsoku/>
              <w:wordWrap/>
              <w:overflowPunct/>
              <w:topLinePunct w:val="0"/>
              <w:autoSpaceDE/>
              <w:autoSpaceDN/>
              <w:bidi w:val="0"/>
              <w:adjustRightInd/>
              <w:snapToGrid/>
              <w:spacing w:line="360" w:lineRule="auto"/>
              <w:textAlignment w:val="auto"/>
              <w:rPr>
                <w:sz w:val="24"/>
              </w:rPr>
            </w:pPr>
            <w:r>
              <w:rPr>
                <w:rFonts w:hint="eastAsia"/>
                <w:sz w:val="24"/>
              </w:rPr>
              <w:t>5</w:t>
            </w:r>
            <w:r>
              <w:rPr>
                <w:sz w:val="24"/>
              </w:rPr>
              <w:t>、</w:t>
            </w:r>
            <w:r>
              <w:rPr>
                <w:rFonts w:hint="eastAsia"/>
                <w:sz w:val="24"/>
              </w:rPr>
              <w:t>地下水、土壤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rPr>
            </w:pPr>
            <w:r>
              <w:rPr>
                <w:sz w:val="24"/>
              </w:rPr>
              <w:t>根据《环境影响评价技术导则 地下水环境》（HJ610-2016）附录A 地下水环境影响评价分类表，本项目属于“V、社会事业与服务业”中“</w:t>
            </w:r>
            <w:r>
              <w:rPr>
                <w:rFonts w:hint="eastAsia"/>
                <w:sz w:val="24"/>
              </w:rPr>
              <w:t>157</w:t>
            </w:r>
            <w:r>
              <w:rPr>
                <w:sz w:val="24"/>
              </w:rPr>
              <w:t>、</w:t>
            </w:r>
            <w:r>
              <w:rPr>
                <w:rFonts w:hint="eastAsia"/>
                <w:sz w:val="24"/>
              </w:rPr>
              <w:t>学校、幼儿园、托儿所</w:t>
            </w:r>
            <w:r>
              <w:rPr>
                <w:sz w:val="24"/>
              </w:rPr>
              <w:t>”的报告表项目，地下水环境影响评价项目类别为Ⅳ类，可不开展地下水环境影响评价工作。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rPr>
            </w:pPr>
            <w:r>
              <w:rPr>
                <w:sz w:val="24"/>
              </w:rPr>
              <w:t>根据《环境影响评价技术导则 土壤环境（试行）》（HJ 964-2018）附录A 土壤环境影响评价项目类别，本项目属于“社会事业与服务业”中“其他”类别，属于Ⅳ类项目，可不开展土壤环境影响评价工作。</w:t>
            </w:r>
          </w:p>
          <w:p>
            <w:pPr>
              <w:keepNext w:val="0"/>
              <w:keepLines w:val="0"/>
              <w:pageBreakBefore w:val="0"/>
              <w:kinsoku/>
              <w:wordWrap/>
              <w:overflowPunct/>
              <w:topLinePunct w:val="0"/>
              <w:autoSpaceDE/>
              <w:autoSpaceDN/>
              <w:bidi w:val="0"/>
              <w:adjustRightInd/>
              <w:snapToGrid/>
              <w:spacing w:line="360" w:lineRule="auto"/>
              <w:textAlignment w:val="auto"/>
              <w:rPr>
                <w:sz w:val="24"/>
              </w:rPr>
            </w:pPr>
            <w:r>
              <w:rPr>
                <w:rFonts w:hint="eastAsia"/>
                <w:sz w:val="24"/>
              </w:rPr>
              <w:t>6</w:t>
            </w:r>
            <w:r>
              <w:rPr>
                <w:sz w:val="24"/>
              </w:rPr>
              <w:t>、</w:t>
            </w:r>
            <w:r>
              <w:rPr>
                <w:rFonts w:hint="eastAsia"/>
                <w:sz w:val="24"/>
              </w:rPr>
              <w:t>环境风险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（1）</w:t>
            </w:r>
            <w:r>
              <w:rPr>
                <w:sz w:val="24"/>
              </w:rPr>
              <w:t>环境风险识别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①</w:t>
            </w:r>
            <w:r>
              <w:rPr>
                <w:sz w:val="24"/>
              </w:rPr>
              <w:t>物质危险性识别</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lang w:val="en-CA"/>
              </w:rPr>
              <w:t>根据《建设项目环境风险评价技术导则》（HJ169-2018）附录B</w:t>
            </w:r>
            <w:r>
              <w:rPr>
                <w:rFonts w:hint="eastAsia"/>
                <w:sz w:val="24"/>
              </w:rPr>
              <w:t>及物质理化性质（见表4-5</w:t>
            </w:r>
            <w:r>
              <w:rPr>
                <w:rFonts w:hint="eastAsia"/>
                <w:sz w:val="24"/>
                <w:lang w:val="en-CA"/>
              </w:rPr>
              <w:t>）可判定：本项目涉及的腐蚀性风险物质有</w:t>
            </w:r>
            <w:r>
              <w:rPr>
                <w:rFonts w:hint="eastAsia"/>
                <w:sz w:val="24"/>
              </w:rPr>
              <w:t>盐酸、</w:t>
            </w:r>
            <w:r>
              <w:rPr>
                <w:rFonts w:hint="eastAsia"/>
                <w:sz w:val="24"/>
                <w:lang w:val="en-CA"/>
              </w:rPr>
              <w:t>硫酸、氢氧化钠；</w:t>
            </w:r>
            <w:r>
              <w:rPr>
                <w:sz w:val="24"/>
              </w:rPr>
              <w:t>易燃物质</w:t>
            </w:r>
            <w:r>
              <w:rPr>
                <w:rFonts w:hint="eastAsia"/>
                <w:sz w:val="24"/>
              </w:rPr>
              <w:t>有乙醇，易燃易爆物质有天然气、火灾不完全燃烧次生CO</w:t>
            </w:r>
            <w:r>
              <w:rPr>
                <w:rFonts w:hint="eastAsia"/>
                <w:sz w:val="24"/>
                <w:lang w:val="en-CA"/>
              </w:rPr>
              <w:t>等</w:t>
            </w:r>
            <w:r>
              <w:rPr>
                <w:rFonts w:hint="eastAsia"/>
                <w:sz w:val="24"/>
              </w:rPr>
              <w:t>，根据</w:t>
            </w:r>
            <w:r>
              <w:rPr>
                <w:rFonts w:hint="eastAsia"/>
                <w:sz w:val="24"/>
                <w:lang w:val="en-CA"/>
              </w:rPr>
              <w:t>《</w:t>
            </w:r>
            <w:r>
              <w:rPr>
                <w:rFonts w:hint="eastAsia"/>
                <w:sz w:val="24"/>
              </w:rPr>
              <w:t>危废名录</w:t>
            </w:r>
            <w:r>
              <w:rPr>
                <w:rFonts w:hint="eastAsia"/>
                <w:sz w:val="24"/>
                <w:lang w:val="en-CA"/>
              </w:rPr>
              <w:t>》识别，本项目涉及的危废为</w:t>
            </w:r>
            <w:r>
              <w:rPr>
                <w:sz w:val="24"/>
              </w:rPr>
              <w:t>沾染危化品的废包装物及碎玻璃</w:t>
            </w:r>
            <w:r>
              <w:rPr>
                <w:rFonts w:hint="eastAsia"/>
                <w:sz w:val="24"/>
              </w:rPr>
              <w:t>、失效过期试剂，本项目涉及的废气污染物为餐饮油烟和天然气燃烧产生的氮氧化物。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b/>
                <w:szCs w:val="24"/>
                <w:lang w:val="en-US" w:eastAsia="zh-CN"/>
              </w:rPr>
            </w:pPr>
            <w:r>
              <w:rPr>
                <w:sz w:val="24"/>
                <w:lang w:val="en-CA"/>
              </w:rPr>
              <w:t>根据</w:t>
            </w:r>
            <w:r>
              <w:rPr>
                <w:sz w:val="24"/>
              </w:rPr>
              <w:t>《国家危险危废名录》（2021年版），本项目产生的</w:t>
            </w:r>
            <w:r>
              <w:rPr>
                <w:sz w:val="24"/>
                <w:lang w:val="en-CA"/>
              </w:rPr>
              <w:t>固体废物中的</w:t>
            </w:r>
            <w:r>
              <w:rPr>
                <w:rFonts w:hint="eastAsia"/>
                <w:sz w:val="24"/>
              </w:rPr>
              <w:t>过期失效的化学试剂、</w:t>
            </w:r>
            <w:r>
              <w:rPr>
                <w:sz w:val="24"/>
              </w:rPr>
              <w:t>沾染危化品的废包装物及碎玻璃</w:t>
            </w:r>
            <w:r>
              <w:rPr>
                <w:sz w:val="24"/>
                <w:lang w:val="en-CA"/>
              </w:rPr>
              <w:t>为有毒有害物质。</w:t>
            </w:r>
          </w:p>
          <w:p>
            <w:pPr>
              <w:pStyle w:val="10"/>
              <w:jc w:val="center"/>
              <w:rPr>
                <w:b/>
                <w:szCs w:val="24"/>
                <w:lang w:val="en-US" w:eastAsia="zh-CN"/>
              </w:rPr>
            </w:pPr>
            <w:r>
              <w:rPr>
                <w:b/>
                <w:szCs w:val="24"/>
                <w:lang w:val="en-US" w:eastAsia="zh-CN"/>
              </w:rPr>
              <w:t>表</w:t>
            </w:r>
            <w:r>
              <w:rPr>
                <w:rFonts w:hint="eastAsia"/>
                <w:b/>
                <w:szCs w:val="24"/>
                <w:lang w:val="en-US" w:eastAsia="zh-CN"/>
              </w:rPr>
              <w:t>4</w:t>
            </w:r>
            <w:r>
              <w:rPr>
                <w:b/>
                <w:szCs w:val="24"/>
                <w:lang w:val="en-US" w:eastAsia="zh-CN"/>
              </w:rPr>
              <w:t>-</w:t>
            </w:r>
            <w:r>
              <w:rPr>
                <w:rFonts w:hint="eastAsia"/>
                <w:b/>
                <w:szCs w:val="24"/>
                <w:lang w:val="en-US" w:eastAsia="zh-CN"/>
              </w:rPr>
              <w:t xml:space="preserve">8  </w:t>
            </w:r>
            <w:r>
              <w:rPr>
                <w:rFonts w:hint="eastAsia"/>
                <w:b/>
                <w:szCs w:val="24"/>
                <w:lang w:val="en-CA" w:eastAsia="zh-CN"/>
              </w:rPr>
              <w:t>本项目涉及的</w:t>
            </w:r>
            <w:r>
              <w:rPr>
                <w:b/>
                <w:szCs w:val="24"/>
                <w:lang w:val="en-CA" w:eastAsia="zh-CN"/>
              </w:rPr>
              <w:t>危险物质</w:t>
            </w:r>
            <w:r>
              <w:rPr>
                <w:rFonts w:hint="eastAsia"/>
                <w:b/>
                <w:szCs w:val="24"/>
                <w:lang w:val="en-CA" w:eastAsia="zh-CN"/>
              </w:rPr>
              <w:t>分布一览表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217"/>
              <w:gridCol w:w="2012"/>
              <w:gridCol w:w="1099"/>
              <w:gridCol w:w="1026"/>
              <w:gridCol w:w="1270"/>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41"/>
                    <w:rPr>
                      <w:b/>
                      <w:bCs/>
                      <w:kern w:val="2"/>
                      <w:szCs w:val="21"/>
                      <w:lang w:val="en-US" w:eastAsia="zh-CN"/>
                    </w:rPr>
                  </w:pPr>
                  <w:r>
                    <w:rPr>
                      <w:rFonts w:hint="eastAsia"/>
                      <w:b/>
                      <w:bCs/>
                      <w:kern w:val="2"/>
                      <w:szCs w:val="21"/>
                      <w:lang w:val="en-US" w:eastAsia="zh-CN"/>
                    </w:rPr>
                    <w:t>序号</w:t>
                  </w:r>
                </w:p>
              </w:tc>
              <w:tc>
                <w:tcPr>
                  <w:tcW w:w="733" w:type="pct"/>
                  <w:vAlign w:val="center"/>
                </w:tcPr>
                <w:p>
                  <w:pPr>
                    <w:pStyle w:val="41"/>
                    <w:rPr>
                      <w:b/>
                      <w:bCs/>
                      <w:kern w:val="2"/>
                      <w:szCs w:val="21"/>
                      <w:lang w:val="en-US" w:eastAsia="zh-CN"/>
                    </w:rPr>
                  </w:pPr>
                  <w:r>
                    <w:rPr>
                      <w:rFonts w:hint="eastAsia"/>
                      <w:b/>
                      <w:bCs/>
                      <w:kern w:val="2"/>
                      <w:szCs w:val="21"/>
                      <w:lang w:val="en-US" w:eastAsia="zh-CN"/>
                    </w:rPr>
                    <w:t>名称</w:t>
                  </w:r>
                </w:p>
              </w:tc>
              <w:tc>
                <w:tcPr>
                  <w:tcW w:w="1212" w:type="pct"/>
                  <w:vAlign w:val="center"/>
                </w:tcPr>
                <w:p>
                  <w:pPr>
                    <w:pStyle w:val="41"/>
                    <w:rPr>
                      <w:b/>
                      <w:bCs/>
                      <w:kern w:val="2"/>
                      <w:szCs w:val="21"/>
                      <w:lang w:val="en-US" w:eastAsia="zh-CN"/>
                    </w:rPr>
                  </w:pPr>
                  <w:r>
                    <w:rPr>
                      <w:rFonts w:hint="eastAsia"/>
                      <w:b/>
                      <w:bCs/>
                      <w:kern w:val="2"/>
                      <w:szCs w:val="21"/>
                      <w:lang w:val="en-US" w:eastAsia="zh-CN"/>
                    </w:rPr>
                    <w:t>分布位置</w:t>
                  </w:r>
                </w:p>
              </w:tc>
              <w:tc>
                <w:tcPr>
                  <w:tcW w:w="662" w:type="pct"/>
                  <w:vAlign w:val="center"/>
                </w:tcPr>
                <w:p>
                  <w:pPr>
                    <w:pStyle w:val="41"/>
                    <w:rPr>
                      <w:b/>
                      <w:bCs/>
                      <w:kern w:val="2"/>
                      <w:szCs w:val="21"/>
                      <w:lang w:val="en-US" w:eastAsia="zh-CN"/>
                    </w:rPr>
                  </w:pPr>
                  <w:r>
                    <w:rPr>
                      <w:rFonts w:hint="eastAsia"/>
                      <w:b/>
                      <w:bCs/>
                      <w:kern w:val="2"/>
                      <w:szCs w:val="21"/>
                      <w:lang w:val="en-US" w:eastAsia="zh-CN"/>
                    </w:rPr>
                    <w:t>成分、</w:t>
                  </w:r>
                </w:p>
                <w:p>
                  <w:pPr>
                    <w:pStyle w:val="41"/>
                    <w:rPr>
                      <w:b/>
                      <w:bCs/>
                      <w:kern w:val="2"/>
                      <w:szCs w:val="21"/>
                      <w:lang w:val="en-US" w:eastAsia="zh-CN"/>
                    </w:rPr>
                  </w:pPr>
                  <w:r>
                    <w:rPr>
                      <w:rFonts w:hint="eastAsia"/>
                      <w:b/>
                      <w:bCs/>
                      <w:kern w:val="2"/>
                      <w:szCs w:val="21"/>
                      <w:lang w:val="en-US" w:eastAsia="zh-CN"/>
                    </w:rPr>
                    <w:t>规格</w:t>
                  </w:r>
                </w:p>
              </w:tc>
              <w:tc>
                <w:tcPr>
                  <w:tcW w:w="618" w:type="pct"/>
                  <w:vAlign w:val="center"/>
                </w:tcPr>
                <w:p>
                  <w:pPr>
                    <w:pStyle w:val="41"/>
                    <w:rPr>
                      <w:b/>
                      <w:bCs/>
                      <w:kern w:val="2"/>
                      <w:szCs w:val="21"/>
                      <w:lang w:val="en-US" w:eastAsia="zh-CN"/>
                    </w:rPr>
                  </w:pPr>
                  <w:r>
                    <w:rPr>
                      <w:rFonts w:hint="eastAsia"/>
                      <w:b/>
                      <w:bCs/>
                      <w:kern w:val="2"/>
                      <w:szCs w:val="21"/>
                      <w:lang w:val="en-US" w:eastAsia="zh-CN"/>
                    </w:rPr>
                    <w:t>贮存</w:t>
                  </w:r>
                </w:p>
                <w:p>
                  <w:pPr>
                    <w:pStyle w:val="41"/>
                    <w:rPr>
                      <w:b/>
                      <w:bCs/>
                      <w:kern w:val="2"/>
                      <w:szCs w:val="21"/>
                      <w:lang w:val="en-US" w:eastAsia="zh-CN"/>
                    </w:rPr>
                  </w:pPr>
                  <w:r>
                    <w:rPr>
                      <w:rFonts w:hint="eastAsia"/>
                      <w:b/>
                      <w:bCs/>
                      <w:kern w:val="2"/>
                      <w:szCs w:val="21"/>
                      <w:lang w:val="en-US" w:eastAsia="zh-CN"/>
                    </w:rPr>
                    <w:t>位置</w:t>
                  </w:r>
                </w:p>
              </w:tc>
              <w:tc>
                <w:tcPr>
                  <w:tcW w:w="765" w:type="pct"/>
                  <w:vAlign w:val="center"/>
                </w:tcPr>
                <w:p>
                  <w:pPr>
                    <w:pStyle w:val="41"/>
                    <w:rPr>
                      <w:b/>
                      <w:bCs/>
                      <w:kern w:val="2"/>
                      <w:szCs w:val="21"/>
                      <w:lang w:val="en-US" w:eastAsia="zh-CN"/>
                    </w:rPr>
                  </w:pPr>
                  <w:r>
                    <w:rPr>
                      <w:rFonts w:hint="eastAsia"/>
                      <w:b/>
                      <w:bCs/>
                      <w:kern w:val="2"/>
                      <w:szCs w:val="21"/>
                      <w:lang w:val="en-US" w:eastAsia="zh-CN"/>
                    </w:rPr>
                    <w:t>最大储存量（kg）</w:t>
                  </w:r>
                </w:p>
              </w:tc>
              <w:tc>
                <w:tcPr>
                  <w:tcW w:w="656" w:type="pct"/>
                  <w:vAlign w:val="center"/>
                </w:tcPr>
                <w:p>
                  <w:pPr>
                    <w:pStyle w:val="41"/>
                    <w:rPr>
                      <w:b/>
                      <w:bCs/>
                      <w:kern w:val="2"/>
                      <w:szCs w:val="21"/>
                      <w:lang w:val="en-US" w:eastAsia="zh-CN"/>
                    </w:rPr>
                  </w:pPr>
                  <w:r>
                    <w:rPr>
                      <w:rFonts w:hint="eastAsia"/>
                      <w:b/>
                      <w:bCs/>
                      <w:kern w:val="2"/>
                      <w:szCs w:val="21"/>
                      <w:lang w:val="en-US" w:eastAsia="zh-CN"/>
                    </w:rPr>
                    <w:t>包装、储存方式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50" w:type="pct"/>
                  <w:vMerge w:val="restart"/>
                  <w:vAlign w:val="center"/>
                </w:tcPr>
                <w:p>
                  <w:pPr>
                    <w:pStyle w:val="41"/>
                    <w:rPr>
                      <w:kern w:val="2"/>
                      <w:lang w:val="en-US" w:eastAsia="zh-CN"/>
                    </w:rPr>
                  </w:pPr>
                  <w:r>
                    <w:rPr>
                      <w:rFonts w:hint="eastAsia"/>
                      <w:kern w:val="2"/>
                      <w:lang w:val="en-US" w:eastAsia="zh-CN"/>
                    </w:rPr>
                    <w:t>1</w:t>
                  </w:r>
                </w:p>
              </w:tc>
              <w:tc>
                <w:tcPr>
                  <w:tcW w:w="733" w:type="pct"/>
                  <w:vMerge w:val="restart"/>
                  <w:vAlign w:val="center"/>
                </w:tcPr>
                <w:p>
                  <w:pPr>
                    <w:pStyle w:val="41"/>
                    <w:rPr>
                      <w:kern w:val="2"/>
                      <w:lang w:val="en-US" w:eastAsia="zh-CN"/>
                    </w:rPr>
                  </w:pPr>
                  <w:r>
                    <w:rPr>
                      <w:rFonts w:hint="eastAsia"/>
                      <w:kern w:val="2"/>
                      <w:lang w:val="en-US" w:eastAsia="zh-CN"/>
                    </w:rPr>
                    <w:t>硫酸</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98.3%</w:t>
                  </w:r>
                </w:p>
              </w:tc>
              <w:tc>
                <w:tcPr>
                  <w:tcW w:w="618" w:type="pct"/>
                  <w:vMerge w:val="restart"/>
                  <w:vAlign w:val="center"/>
                </w:tcPr>
                <w:p>
                  <w:pPr>
                    <w:pStyle w:val="41"/>
                    <w:rPr>
                      <w:kern w:val="2"/>
                      <w:lang w:val="en-US" w:eastAsia="zh-CN"/>
                    </w:rPr>
                  </w:pPr>
                  <w:r>
                    <w:rPr>
                      <w:rFonts w:hint="eastAsia"/>
                      <w:kern w:val="2"/>
                      <w:lang w:val="en-US" w:eastAsia="zh-CN"/>
                    </w:rPr>
                    <w:t>试剂库</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5</w:t>
                  </w:r>
                </w:p>
              </w:tc>
              <w:tc>
                <w:tcPr>
                  <w:tcW w:w="656" w:type="pct"/>
                  <w:vAlign w:val="center"/>
                </w:tcPr>
                <w:p>
                  <w:pPr>
                    <w:pStyle w:val="41"/>
                    <w:rPr>
                      <w:kern w:val="2"/>
                      <w:lang w:val="en-US" w:eastAsia="zh-CN"/>
                    </w:rPr>
                  </w:pPr>
                  <w:r>
                    <w:rPr>
                      <w:rFonts w:hint="eastAsia"/>
                      <w:kern w:val="2"/>
                      <w:lang w:val="en-US" w:eastAsia="zh-CN"/>
                    </w:rPr>
                    <w:t>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0" w:type="pct"/>
                  <w:vMerge w:val="restart"/>
                  <w:vAlign w:val="center"/>
                </w:tcPr>
                <w:p>
                  <w:pPr>
                    <w:pStyle w:val="41"/>
                    <w:rPr>
                      <w:kern w:val="2"/>
                      <w:lang w:val="en-US" w:eastAsia="zh-CN"/>
                    </w:rPr>
                  </w:pPr>
                  <w:r>
                    <w:rPr>
                      <w:rFonts w:hint="eastAsia"/>
                      <w:kern w:val="2"/>
                      <w:lang w:val="en-US" w:eastAsia="zh-CN"/>
                    </w:rPr>
                    <w:t>2</w:t>
                  </w:r>
                </w:p>
              </w:tc>
              <w:tc>
                <w:tcPr>
                  <w:tcW w:w="733" w:type="pct"/>
                  <w:vMerge w:val="restart"/>
                  <w:vAlign w:val="center"/>
                </w:tcPr>
                <w:p>
                  <w:pPr>
                    <w:pStyle w:val="41"/>
                    <w:rPr>
                      <w:kern w:val="2"/>
                      <w:lang w:val="en-US" w:eastAsia="zh-CN"/>
                    </w:rPr>
                  </w:pPr>
                  <w:r>
                    <w:rPr>
                      <w:rFonts w:hint="eastAsia"/>
                      <w:kern w:val="2"/>
                      <w:lang w:val="en-US" w:eastAsia="zh-CN"/>
                    </w:rPr>
                    <w:t>盐酸</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30%</w:t>
                  </w:r>
                </w:p>
              </w:tc>
              <w:tc>
                <w:tcPr>
                  <w:tcW w:w="618" w:type="pct"/>
                  <w:vMerge w:val="restart"/>
                  <w:vAlign w:val="center"/>
                </w:tcPr>
                <w:p>
                  <w:pPr>
                    <w:pStyle w:val="41"/>
                    <w:rPr>
                      <w:kern w:val="2"/>
                      <w:lang w:val="en-US" w:eastAsia="zh-CN"/>
                    </w:rPr>
                  </w:pPr>
                  <w:r>
                    <w:rPr>
                      <w:rFonts w:hint="eastAsia"/>
                      <w:kern w:val="2"/>
                      <w:lang w:val="en-US" w:eastAsia="zh-CN"/>
                    </w:rPr>
                    <w:t>试剂库</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5</w:t>
                  </w:r>
                </w:p>
              </w:tc>
              <w:tc>
                <w:tcPr>
                  <w:tcW w:w="656" w:type="pct"/>
                  <w:vAlign w:val="center"/>
                </w:tcPr>
                <w:p>
                  <w:pPr>
                    <w:pStyle w:val="41"/>
                    <w:rPr>
                      <w:kern w:val="2"/>
                      <w:lang w:val="en-US" w:eastAsia="zh-CN"/>
                    </w:rPr>
                  </w:pPr>
                  <w:r>
                    <w:rPr>
                      <w:rFonts w:hint="eastAsia"/>
                      <w:kern w:val="2"/>
                      <w:lang w:val="en-US" w:eastAsia="zh-CN"/>
                    </w:rPr>
                    <w:t>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50" w:type="pct"/>
                  <w:vMerge w:val="restart"/>
                  <w:vAlign w:val="center"/>
                </w:tcPr>
                <w:p>
                  <w:pPr>
                    <w:pStyle w:val="41"/>
                    <w:rPr>
                      <w:kern w:val="2"/>
                      <w:lang w:val="en-US" w:eastAsia="zh-CN"/>
                    </w:rPr>
                  </w:pPr>
                  <w:r>
                    <w:rPr>
                      <w:rFonts w:hint="eastAsia"/>
                      <w:kern w:val="2"/>
                      <w:lang w:val="en-US" w:eastAsia="zh-CN"/>
                    </w:rPr>
                    <w:t>3</w:t>
                  </w:r>
                </w:p>
              </w:tc>
              <w:tc>
                <w:tcPr>
                  <w:tcW w:w="733" w:type="pct"/>
                  <w:vMerge w:val="restart"/>
                  <w:vAlign w:val="center"/>
                </w:tcPr>
                <w:p>
                  <w:pPr>
                    <w:pStyle w:val="41"/>
                    <w:rPr>
                      <w:kern w:val="2"/>
                      <w:lang w:val="en-US" w:eastAsia="zh-CN"/>
                    </w:rPr>
                  </w:pPr>
                  <w:r>
                    <w:rPr>
                      <w:rFonts w:hint="eastAsia"/>
                      <w:kern w:val="2"/>
                      <w:lang w:val="en-US" w:eastAsia="zh-CN"/>
                    </w:rPr>
                    <w:t>氢氧化钠</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w:t>
                  </w:r>
                </w:p>
              </w:tc>
              <w:tc>
                <w:tcPr>
                  <w:tcW w:w="618" w:type="pct"/>
                  <w:vMerge w:val="restart"/>
                  <w:vAlign w:val="center"/>
                </w:tcPr>
                <w:p>
                  <w:pPr>
                    <w:pStyle w:val="41"/>
                    <w:rPr>
                      <w:kern w:val="2"/>
                      <w:lang w:val="en-US" w:eastAsia="zh-CN"/>
                    </w:rPr>
                  </w:pPr>
                  <w:r>
                    <w:rPr>
                      <w:rFonts w:hint="eastAsia"/>
                      <w:kern w:val="2"/>
                      <w:lang w:val="en-US" w:eastAsia="zh-CN"/>
                    </w:rPr>
                    <w:t>试剂库</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10</w:t>
                  </w:r>
                </w:p>
              </w:tc>
              <w:tc>
                <w:tcPr>
                  <w:tcW w:w="656" w:type="pct"/>
                  <w:vAlign w:val="center"/>
                </w:tcPr>
                <w:p>
                  <w:pPr>
                    <w:pStyle w:val="41"/>
                    <w:rPr>
                      <w:kern w:val="2"/>
                      <w:lang w:val="en-US" w:eastAsia="zh-CN"/>
                    </w:rPr>
                  </w:pPr>
                  <w:r>
                    <w:rPr>
                      <w:rFonts w:hint="eastAsia"/>
                      <w:kern w:val="2"/>
                      <w:lang w:val="en-US" w:eastAsia="zh-CN"/>
                    </w:rPr>
                    <w:t>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0" w:type="pct"/>
                  <w:vMerge w:val="restart"/>
                  <w:vAlign w:val="center"/>
                </w:tcPr>
                <w:p>
                  <w:pPr>
                    <w:pStyle w:val="41"/>
                    <w:rPr>
                      <w:kern w:val="2"/>
                      <w:lang w:val="en-US" w:eastAsia="zh-CN"/>
                    </w:rPr>
                  </w:pPr>
                  <w:r>
                    <w:rPr>
                      <w:rFonts w:hint="eastAsia"/>
                      <w:kern w:val="2"/>
                      <w:lang w:val="en-US" w:eastAsia="zh-CN"/>
                    </w:rPr>
                    <w:t>4</w:t>
                  </w:r>
                </w:p>
              </w:tc>
              <w:tc>
                <w:tcPr>
                  <w:tcW w:w="733" w:type="pct"/>
                  <w:vMerge w:val="restart"/>
                  <w:vAlign w:val="center"/>
                </w:tcPr>
                <w:p>
                  <w:pPr>
                    <w:pStyle w:val="41"/>
                    <w:rPr>
                      <w:kern w:val="2"/>
                      <w:lang w:val="en-US" w:eastAsia="zh-CN"/>
                    </w:rPr>
                  </w:pPr>
                  <w:r>
                    <w:rPr>
                      <w:rFonts w:hint="eastAsia"/>
                      <w:kern w:val="2"/>
                      <w:lang w:val="en-US" w:eastAsia="zh-CN"/>
                    </w:rPr>
                    <w:t>乙醇</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99%</w:t>
                  </w:r>
                </w:p>
              </w:tc>
              <w:tc>
                <w:tcPr>
                  <w:tcW w:w="618" w:type="pct"/>
                  <w:vMerge w:val="restart"/>
                  <w:vAlign w:val="center"/>
                </w:tcPr>
                <w:p>
                  <w:pPr>
                    <w:pStyle w:val="41"/>
                    <w:rPr>
                      <w:kern w:val="2"/>
                      <w:lang w:val="en-US" w:eastAsia="zh-CN"/>
                    </w:rPr>
                  </w:pPr>
                  <w:r>
                    <w:rPr>
                      <w:rFonts w:hint="eastAsia"/>
                      <w:kern w:val="2"/>
                      <w:lang w:val="en-US" w:eastAsia="zh-CN"/>
                    </w:rPr>
                    <w:t>试剂库</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5</w:t>
                  </w:r>
                </w:p>
              </w:tc>
              <w:tc>
                <w:tcPr>
                  <w:tcW w:w="656" w:type="pct"/>
                  <w:vAlign w:val="center"/>
                </w:tcPr>
                <w:p>
                  <w:pPr>
                    <w:pStyle w:val="41"/>
                    <w:rPr>
                      <w:kern w:val="2"/>
                      <w:lang w:val="en-US" w:eastAsia="zh-CN"/>
                    </w:rPr>
                  </w:pPr>
                  <w:r>
                    <w:rPr>
                      <w:rFonts w:hint="eastAsia"/>
                      <w:kern w:val="2"/>
                      <w:lang w:val="en-US" w:eastAsia="zh-CN"/>
                    </w:rPr>
                    <w:t>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41"/>
                    <w:rPr>
                      <w:kern w:val="2"/>
                      <w:lang w:val="en-US" w:eastAsia="zh-CN"/>
                    </w:rPr>
                  </w:pPr>
                  <w:r>
                    <w:rPr>
                      <w:rFonts w:hint="eastAsia"/>
                      <w:kern w:val="2"/>
                      <w:lang w:val="en-US" w:eastAsia="zh-CN"/>
                    </w:rPr>
                    <w:t>5</w:t>
                  </w:r>
                </w:p>
              </w:tc>
              <w:tc>
                <w:tcPr>
                  <w:tcW w:w="733" w:type="pct"/>
                  <w:vAlign w:val="center"/>
                </w:tcPr>
                <w:p>
                  <w:pPr>
                    <w:pStyle w:val="41"/>
                    <w:rPr>
                      <w:kern w:val="2"/>
                      <w:lang w:val="en-US" w:eastAsia="zh-CN"/>
                    </w:rPr>
                  </w:pPr>
                  <w:r>
                    <w:rPr>
                      <w:rFonts w:hint="eastAsia"/>
                      <w:kern w:val="2"/>
                      <w:lang w:val="en-US" w:eastAsia="zh-CN"/>
                    </w:rPr>
                    <w:t>天然气</w:t>
                  </w:r>
                </w:p>
              </w:tc>
              <w:tc>
                <w:tcPr>
                  <w:tcW w:w="1212" w:type="pct"/>
                  <w:vAlign w:val="center"/>
                </w:tcPr>
                <w:p>
                  <w:pPr>
                    <w:pStyle w:val="41"/>
                    <w:rPr>
                      <w:kern w:val="2"/>
                      <w:szCs w:val="21"/>
                      <w:lang w:val="en-US" w:eastAsia="zh-CN"/>
                    </w:rPr>
                  </w:pPr>
                  <w:r>
                    <w:rPr>
                      <w:rFonts w:hint="eastAsia"/>
                      <w:kern w:val="2"/>
                      <w:szCs w:val="21"/>
                      <w:lang w:val="en-US" w:eastAsia="zh-CN"/>
                    </w:rPr>
                    <w:t>食堂厨房</w:t>
                  </w:r>
                </w:p>
              </w:tc>
              <w:tc>
                <w:tcPr>
                  <w:tcW w:w="662" w:type="pct"/>
                  <w:vAlign w:val="center"/>
                </w:tcPr>
                <w:p>
                  <w:pPr>
                    <w:pStyle w:val="41"/>
                    <w:rPr>
                      <w:kern w:val="2"/>
                      <w:lang w:val="en-US" w:eastAsia="zh-CN"/>
                    </w:rPr>
                  </w:pPr>
                  <w:r>
                    <w:rPr>
                      <w:rFonts w:hint="eastAsia"/>
                      <w:kern w:val="2"/>
                      <w:lang w:val="en-US" w:eastAsia="zh-CN"/>
                    </w:rPr>
                    <w:t>主要为甲烷</w:t>
                  </w:r>
                </w:p>
              </w:tc>
              <w:tc>
                <w:tcPr>
                  <w:tcW w:w="618" w:type="pct"/>
                  <w:vAlign w:val="center"/>
                </w:tcPr>
                <w:p>
                  <w:pPr>
                    <w:pStyle w:val="41"/>
                    <w:rPr>
                      <w:kern w:val="2"/>
                      <w:lang w:val="en-US" w:eastAsia="zh-CN"/>
                    </w:rPr>
                  </w:pPr>
                  <w:r>
                    <w:rPr>
                      <w:rFonts w:hint="eastAsia"/>
                      <w:kern w:val="2"/>
                      <w:lang w:val="en-US" w:eastAsia="zh-CN"/>
                    </w:rPr>
                    <w:t>/</w:t>
                  </w:r>
                </w:p>
              </w:tc>
              <w:tc>
                <w:tcPr>
                  <w:tcW w:w="765" w:type="pct"/>
                  <w:vAlign w:val="center"/>
                </w:tcPr>
                <w:p>
                  <w:pPr>
                    <w:pStyle w:val="41"/>
                    <w:rPr>
                      <w:kern w:val="2"/>
                      <w:lang w:val="en-US" w:eastAsia="zh-CN"/>
                    </w:rPr>
                  </w:pPr>
                  <w:r>
                    <w:rPr>
                      <w:rFonts w:hint="eastAsia"/>
                      <w:kern w:val="2"/>
                      <w:lang w:val="en-US" w:eastAsia="zh-CN"/>
                    </w:rPr>
                    <w:t>/</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0" w:type="pct"/>
                  <w:vMerge w:val="restart"/>
                  <w:vAlign w:val="center"/>
                </w:tcPr>
                <w:p>
                  <w:pPr>
                    <w:pStyle w:val="41"/>
                    <w:rPr>
                      <w:kern w:val="2"/>
                      <w:lang w:val="en-US" w:eastAsia="zh-CN"/>
                    </w:rPr>
                  </w:pPr>
                  <w:r>
                    <w:rPr>
                      <w:rFonts w:hint="eastAsia"/>
                      <w:kern w:val="2"/>
                      <w:lang w:val="en-US" w:eastAsia="zh-CN"/>
                    </w:rPr>
                    <w:t>6</w:t>
                  </w:r>
                </w:p>
              </w:tc>
              <w:tc>
                <w:tcPr>
                  <w:tcW w:w="733" w:type="pct"/>
                  <w:vMerge w:val="restart"/>
                  <w:vAlign w:val="center"/>
                </w:tcPr>
                <w:p>
                  <w:pPr>
                    <w:pStyle w:val="41"/>
                    <w:rPr>
                      <w:kern w:val="2"/>
                      <w:lang w:val="en-US" w:eastAsia="zh-CN"/>
                    </w:rPr>
                  </w:pPr>
                  <w:r>
                    <w:rPr>
                      <w:rFonts w:hint="eastAsia"/>
                      <w:kern w:val="2"/>
                      <w:lang w:val="en-US" w:eastAsia="zh-CN"/>
                    </w:rPr>
                    <w:t>沾染危化品的废包装物及碎玻璃</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硫酸、盐酸等化学药剂</w:t>
                  </w:r>
                </w:p>
              </w:tc>
              <w:tc>
                <w:tcPr>
                  <w:tcW w:w="618" w:type="pct"/>
                  <w:vMerge w:val="restart"/>
                  <w:vAlign w:val="center"/>
                </w:tcPr>
                <w:p>
                  <w:pPr>
                    <w:pStyle w:val="41"/>
                    <w:rPr>
                      <w:kern w:val="2"/>
                      <w:lang w:val="en-US" w:eastAsia="zh-CN"/>
                    </w:rPr>
                  </w:pPr>
                  <w:r>
                    <w:rPr>
                      <w:rFonts w:hint="eastAsia"/>
                      <w:kern w:val="2"/>
                      <w:lang w:val="en-US" w:eastAsia="zh-CN"/>
                    </w:rPr>
                    <w:t>危废</w:t>
                  </w:r>
                </w:p>
                <w:p>
                  <w:pPr>
                    <w:pStyle w:val="41"/>
                    <w:rPr>
                      <w:kern w:val="2"/>
                      <w:lang w:val="en-US" w:eastAsia="zh-CN"/>
                    </w:rPr>
                  </w:pPr>
                  <w:r>
                    <w:rPr>
                      <w:rFonts w:hint="eastAsia"/>
                      <w:kern w:val="2"/>
                      <w:lang w:val="en-US" w:eastAsia="zh-CN"/>
                    </w:rPr>
                    <w:t>暂存间</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50kg</w:t>
                  </w:r>
                </w:p>
              </w:tc>
              <w:tc>
                <w:tcPr>
                  <w:tcW w:w="656" w:type="pct"/>
                  <w:vAlign w:val="center"/>
                </w:tcPr>
                <w:p>
                  <w:pPr>
                    <w:pStyle w:val="41"/>
                    <w:rPr>
                      <w:kern w:val="2"/>
                      <w:lang w:val="en-US" w:eastAsia="zh-CN"/>
                    </w:rPr>
                  </w:pPr>
                  <w:r>
                    <w:rPr>
                      <w:rFonts w:hint="eastAsia"/>
                      <w:kern w:val="2"/>
                      <w:lang w:val="en-US" w:eastAsia="zh-CN"/>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350" w:type="pct"/>
                  <w:vMerge w:val="continue"/>
                  <w:vAlign w:val="center"/>
                </w:tcPr>
                <w:p>
                  <w:pPr>
                    <w:pStyle w:val="41"/>
                    <w:rPr>
                      <w:kern w:val="2"/>
                      <w:lang w:val="en-US" w:eastAsia="zh-CN"/>
                    </w:rPr>
                  </w:pPr>
                </w:p>
              </w:tc>
              <w:tc>
                <w:tcPr>
                  <w:tcW w:w="733" w:type="pct"/>
                  <w:vMerge w:val="continue"/>
                  <w:vAlign w:val="center"/>
                </w:tcPr>
                <w:p>
                  <w:pPr>
                    <w:pStyle w:val="41"/>
                    <w:rPr>
                      <w:kern w:val="2"/>
                      <w:lang w:val="en-US" w:eastAsia="zh-CN"/>
                    </w:rPr>
                  </w:pPr>
                </w:p>
              </w:tc>
              <w:tc>
                <w:tcPr>
                  <w:tcW w:w="1212" w:type="pct"/>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vAlign w:val="center"/>
                </w:tcPr>
                <w:p>
                  <w:pPr>
                    <w:pStyle w:val="41"/>
                    <w:rPr>
                      <w:kern w:val="2"/>
                      <w:lang w:val="en-US" w:eastAsia="zh-CN"/>
                    </w:rPr>
                  </w:pPr>
                </w:p>
              </w:tc>
              <w:tc>
                <w:tcPr>
                  <w:tcW w:w="618" w:type="pct"/>
                  <w:vMerge w:val="continue"/>
                  <w:vAlign w:val="center"/>
                </w:tcPr>
                <w:p>
                  <w:pPr>
                    <w:pStyle w:val="41"/>
                    <w:rPr>
                      <w:kern w:val="2"/>
                      <w:lang w:val="en-US" w:eastAsia="zh-CN"/>
                    </w:rPr>
                  </w:pP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Merge w:val="restart"/>
                  <w:vAlign w:val="center"/>
                </w:tcPr>
                <w:p>
                  <w:pPr>
                    <w:pStyle w:val="41"/>
                    <w:rPr>
                      <w:kern w:val="2"/>
                      <w:lang w:val="en-US" w:eastAsia="zh-CN"/>
                    </w:rPr>
                  </w:pPr>
                  <w:r>
                    <w:rPr>
                      <w:rFonts w:hint="eastAsia"/>
                      <w:kern w:val="2"/>
                      <w:lang w:val="en-US" w:eastAsia="zh-CN"/>
                    </w:rPr>
                    <w:t>7</w:t>
                  </w:r>
                </w:p>
              </w:tc>
              <w:tc>
                <w:tcPr>
                  <w:tcW w:w="733" w:type="pct"/>
                  <w:vMerge w:val="restart"/>
                  <w:vAlign w:val="center"/>
                </w:tcPr>
                <w:p>
                  <w:pPr>
                    <w:pStyle w:val="41"/>
                    <w:rPr>
                      <w:kern w:val="2"/>
                      <w:lang w:val="en-US" w:eastAsia="zh-CN"/>
                    </w:rPr>
                  </w:pPr>
                  <w:r>
                    <w:rPr>
                      <w:rFonts w:hint="eastAsia"/>
                      <w:kern w:val="2"/>
                      <w:lang w:val="en-US" w:eastAsia="zh-CN"/>
                    </w:rPr>
                    <w:t>过期失效的化学试剂</w:t>
                  </w:r>
                </w:p>
              </w:tc>
              <w:tc>
                <w:tcPr>
                  <w:tcW w:w="1212" w:type="pct"/>
                  <w:vAlign w:val="center"/>
                </w:tcPr>
                <w:p>
                  <w:pPr>
                    <w:pStyle w:val="41"/>
                    <w:rPr>
                      <w:kern w:val="2"/>
                      <w:szCs w:val="21"/>
                      <w:lang w:val="en-US" w:eastAsia="zh-CN"/>
                    </w:rPr>
                  </w:pPr>
                  <w:r>
                    <w:rPr>
                      <w:rFonts w:hint="eastAsia"/>
                      <w:kern w:val="2"/>
                      <w:szCs w:val="21"/>
                      <w:lang w:val="en-US" w:eastAsia="zh-CN"/>
                    </w:rPr>
                    <w:t>实验室</w:t>
                  </w:r>
                </w:p>
              </w:tc>
              <w:tc>
                <w:tcPr>
                  <w:tcW w:w="662" w:type="pct"/>
                  <w:vMerge w:val="restart"/>
                  <w:vAlign w:val="center"/>
                </w:tcPr>
                <w:p>
                  <w:pPr>
                    <w:pStyle w:val="41"/>
                    <w:rPr>
                      <w:kern w:val="2"/>
                      <w:lang w:val="en-US" w:eastAsia="zh-CN"/>
                    </w:rPr>
                  </w:pPr>
                  <w:r>
                    <w:rPr>
                      <w:rFonts w:hint="eastAsia"/>
                      <w:kern w:val="2"/>
                      <w:lang w:val="en-US" w:eastAsia="zh-CN"/>
                    </w:rPr>
                    <w:t>硫酸、盐酸等化学药剂</w:t>
                  </w:r>
                </w:p>
              </w:tc>
              <w:tc>
                <w:tcPr>
                  <w:tcW w:w="618" w:type="pct"/>
                  <w:vMerge w:val="restart"/>
                  <w:vAlign w:val="center"/>
                </w:tcPr>
                <w:p>
                  <w:pPr>
                    <w:pStyle w:val="41"/>
                    <w:rPr>
                      <w:kern w:val="2"/>
                      <w:lang w:val="en-US" w:eastAsia="zh-CN"/>
                    </w:rPr>
                  </w:pPr>
                  <w:r>
                    <w:rPr>
                      <w:rFonts w:hint="eastAsia"/>
                      <w:kern w:val="2"/>
                      <w:lang w:val="en-US" w:eastAsia="zh-CN"/>
                    </w:rPr>
                    <w:t>危废</w:t>
                  </w:r>
                </w:p>
                <w:p>
                  <w:pPr>
                    <w:pStyle w:val="41"/>
                    <w:rPr>
                      <w:kern w:val="2"/>
                      <w:lang w:val="en-US" w:eastAsia="zh-CN"/>
                    </w:rPr>
                  </w:pPr>
                  <w:r>
                    <w:rPr>
                      <w:rFonts w:hint="eastAsia"/>
                      <w:kern w:val="2"/>
                      <w:lang w:val="en-US" w:eastAsia="zh-CN"/>
                    </w:rPr>
                    <w:t>暂存间</w:t>
                  </w:r>
                </w:p>
              </w:tc>
              <w:tc>
                <w:tcPr>
                  <w:tcW w:w="765" w:type="pct"/>
                  <w:vAlign w:val="center"/>
                </w:tcPr>
                <w:p>
                  <w:pPr>
                    <w:pStyle w:val="41"/>
                    <w:rPr>
                      <w:kern w:val="2"/>
                      <w:lang w:val="en-US" w:eastAsia="zh-CN"/>
                    </w:rPr>
                  </w:pPr>
                  <w:r>
                    <w:rPr>
                      <w:rFonts w:hint="eastAsia"/>
                      <w:kern w:val="2"/>
                      <w:lang w:val="en-US" w:eastAsia="zh-CN"/>
                    </w:rPr>
                    <w:t>微量</w:t>
                  </w:r>
                </w:p>
              </w:tc>
              <w:tc>
                <w:tcPr>
                  <w:tcW w:w="656" w:type="pct"/>
                  <w:vAlign w:val="center"/>
                </w:tcPr>
                <w:p>
                  <w:pPr>
                    <w:pStyle w:val="41"/>
                    <w:rPr>
                      <w:kern w:val="2"/>
                      <w:lang w:val="en-US" w:eastAsia="zh-CN"/>
                    </w:rPr>
                  </w:pP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Merge w:val="continue"/>
                </w:tcPr>
                <w:p>
                  <w:pPr>
                    <w:pStyle w:val="41"/>
                    <w:rPr>
                      <w:kern w:val="2"/>
                      <w:lang w:val="en-US" w:eastAsia="zh-CN"/>
                    </w:rPr>
                  </w:pPr>
                </w:p>
              </w:tc>
              <w:tc>
                <w:tcPr>
                  <w:tcW w:w="733" w:type="pct"/>
                  <w:vMerge w:val="continue"/>
                </w:tcPr>
                <w:p>
                  <w:pPr>
                    <w:pStyle w:val="41"/>
                    <w:rPr>
                      <w:kern w:val="2"/>
                      <w:lang w:val="en-US" w:eastAsia="zh-CN"/>
                    </w:rPr>
                  </w:pPr>
                </w:p>
              </w:tc>
              <w:tc>
                <w:tcPr>
                  <w:tcW w:w="0" w:type="auto"/>
                  <w:vAlign w:val="center"/>
                </w:tcPr>
                <w:p>
                  <w:pPr>
                    <w:pStyle w:val="41"/>
                    <w:rPr>
                      <w:kern w:val="2"/>
                      <w:szCs w:val="21"/>
                      <w:lang w:val="en-US" w:eastAsia="zh-CN"/>
                    </w:rPr>
                  </w:pPr>
                  <w:r>
                    <w:rPr>
                      <w:rFonts w:hint="eastAsia"/>
                      <w:kern w:val="2"/>
                      <w:szCs w:val="21"/>
                      <w:lang w:val="en-US" w:eastAsia="zh-CN"/>
                    </w:rPr>
                    <w:t>危废暂存间</w:t>
                  </w:r>
                </w:p>
              </w:tc>
              <w:tc>
                <w:tcPr>
                  <w:tcW w:w="662" w:type="pct"/>
                  <w:vMerge w:val="continue"/>
                </w:tcPr>
                <w:p>
                  <w:pPr>
                    <w:pStyle w:val="41"/>
                    <w:rPr>
                      <w:kern w:val="2"/>
                      <w:lang w:val="en-US" w:eastAsia="zh-CN"/>
                    </w:rPr>
                  </w:pPr>
                </w:p>
              </w:tc>
              <w:tc>
                <w:tcPr>
                  <w:tcW w:w="618" w:type="pct"/>
                  <w:vMerge w:val="continue"/>
                </w:tcPr>
                <w:p>
                  <w:pPr>
                    <w:pStyle w:val="41"/>
                    <w:rPr>
                      <w:kern w:val="2"/>
                      <w:lang w:val="en-US" w:eastAsia="zh-CN"/>
                    </w:rPr>
                  </w:pPr>
                </w:p>
              </w:tc>
              <w:tc>
                <w:tcPr>
                  <w:tcW w:w="0" w:type="auto"/>
                  <w:vAlign w:val="center"/>
                </w:tcPr>
                <w:p>
                  <w:pPr>
                    <w:pStyle w:val="41"/>
                    <w:rPr>
                      <w:kern w:val="2"/>
                      <w:lang w:val="en-US" w:eastAsia="zh-CN"/>
                    </w:rPr>
                  </w:pPr>
                  <w:r>
                    <w:rPr>
                      <w:rFonts w:hint="eastAsia"/>
                      <w:kern w:val="2"/>
                      <w:lang w:val="en-US" w:eastAsia="zh-CN"/>
                    </w:rPr>
                    <w:t>4.2kg</w:t>
                  </w:r>
                </w:p>
              </w:tc>
              <w:tc>
                <w:tcPr>
                  <w:tcW w:w="0" w:type="auto"/>
                  <w:vAlign w:val="center"/>
                </w:tcPr>
                <w:p>
                  <w:pPr>
                    <w:pStyle w:val="41"/>
                    <w:rPr>
                      <w:kern w:val="2"/>
                      <w:lang w:val="en-US" w:eastAsia="zh-CN"/>
                    </w:rPr>
                  </w:pPr>
                  <w:r>
                    <w:rPr>
                      <w:rFonts w:hint="eastAsia"/>
                      <w:kern w:val="2"/>
                      <w:lang w:val="en-US" w:eastAsia="zh-CN"/>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Merge w:val="continue"/>
                </w:tcPr>
                <w:p>
                  <w:pPr>
                    <w:pStyle w:val="41"/>
                    <w:rPr>
                      <w:kern w:val="2"/>
                      <w:lang w:val="en-US" w:eastAsia="zh-CN"/>
                    </w:rPr>
                  </w:pPr>
                </w:p>
              </w:tc>
              <w:tc>
                <w:tcPr>
                  <w:tcW w:w="733" w:type="pct"/>
                  <w:vMerge w:val="continue"/>
                </w:tcPr>
                <w:p>
                  <w:pPr>
                    <w:pStyle w:val="41"/>
                    <w:rPr>
                      <w:kern w:val="2"/>
                      <w:lang w:val="en-US" w:eastAsia="zh-CN"/>
                    </w:rPr>
                  </w:pPr>
                </w:p>
              </w:tc>
              <w:tc>
                <w:tcPr>
                  <w:tcW w:w="0" w:type="auto"/>
                  <w:vAlign w:val="center"/>
                </w:tcPr>
                <w:p>
                  <w:pPr>
                    <w:pStyle w:val="41"/>
                    <w:rPr>
                      <w:kern w:val="2"/>
                      <w:szCs w:val="21"/>
                      <w:lang w:val="en-US" w:eastAsia="zh-CN"/>
                    </w:rPr>
                  </w:pPr>
                  <w:r>
                    <w:rPr>
                      <w:rFonts w:hint="eastAsia"/>
                      <w:kern w:val="2"/>
                      <w:szCs w:val="21"/>
                      <w:lang w:val="en-US" w:eastAsia="zh-CN"/>
                    </w:rPr>
                    <w:t>试剂库</w:t>
                  </w:r>
                </w:p>
              </w:tc>
              <w:tc>
                <w:tcPr>
                  <w:tcW w:w="662" w:type="pct"/>
                  <w:vMerge w:val="continue"/>
                </w:tcPr>
                <w:p>
                  <w:pPr>
                    <w:pStyle w:val="41"/>
                    <w:rPr>
                      <w:kern w:val="2"/>
                      <w:lang w:val="en-US" w:eastAsia="zh-CN"/>
                    </w:rPr>
                  </w:pPr>
                </w:p>
              </w:tc>
              <w:tc>
                <w:tcPr>
                  <w:tcW w:w="618" w:type="pct"/>
                  <w:vMerge w:val="continue"/>
                </w:tcPr>
                <w:p>
                  <w:pPr>
                    <w:pStyle w:val="41"/>
                    <w:rPr>
                      <w:kern w:val="2"/>
                      <w:lang w:val="en-US" w:eastAsia="zh-CN"/>
                    </w:rPr>
                  </w:pPr>
                </w:p>
              </w:tc>
              <w:tc>
                <w:tcPr>
                  <w:tcW w:w="0" w:type="auto"/>
                  <w:vAlign w:val="center"/>
                </w:tcPr>
                <w:p>
                  <w:pPr>
                    <w:pStyle w:val="41"/>
                    <w:rPr>
                      <w:kern w:val="2"/>
                      <w:lang w:val="en-US" w:eastAsia="zh-CN"/>
                    </w:rPr>
                  </w:pPr>
                  <w:r>
                    <w:rPr>
                      <w:rFonts w:hint="eastAsia"/>
                      <w:kern w:val="2"/>
                      <w:lang w:val="en-US" w:eastAsia="zh-CN"/>
                    </w:rPr>
                    <w:t>微量</w:t>
                  </w:r>
                </w:p>
              </w:tc>
              <w:tc>
                <w:tcPr>
                  <w:tcW w:w="0" w:type="auto"/>
                  <w:vAlign w:val="center"/>
                </w:tcPr>
                <w:p>
                  <w:pPr>
                    <w:pStyle w:val="41"/>
                    <w:rPr>
                      <w:kern w:val="2"/>
                      <w:lang w:val="en-US" w:eastAsia="zh-CN"/>
                    </w:rPr>
                  </w:pPr>
                  <w:r>
                    <w:rPr>
                      <w:rFonts w:hint="eastAsia"/>
                      <w:kern w:val="2"/>
                      <w:lang w:val="en-US" w:eastAsia="zh-CN"/>
                    </w:rPr>
                    <w:t>/</w:t>
                  </w:r>
                </w:p>
              </w:tc>
            </w:tr>
          </w:tbl>
          <w:p>
            <w:pPr>
              <w:snapToGrid w:val="0"/>
              <w:spacing w:beforeLines="100"/>
              <w:ind w:firstLine="482"/>
              <w:jc w:val="center"/>
              <w:rPr>
                <w:b/>
                <w:bCs/>
                <w:sz w:val="24"/>
              </w:rPr>
            </w:pPr>
            <w:r>
              <w:rPr>
                <w:rFonts w:hint="eastAsia"/>
                <w:b/>
                <w:bCs/>
                <w:sz w:val="24"/>
              </w:rPr>
              <w:t>表4-</w:t>
            </w:r>
            <w:r>
              <w:rPr>
                <w:rFonts w:hint="eastAsia"/>
                <w:b/>
                <w:bCs/>
                <w:sz w:val="24"/>
                <w:lang w:val="en-US" w:eastAsia="zh-CN"/>
              </w:rPr>
              <w:t>9</w:t>
            </w:r>
            <w:r>
              <w:rPr>
                <w:rFonts w:hint="eastAsia"/>
                <w:b/>
                <w:bCs/>
                <w:sz w:val="24"/>
              </w:rPr>
              <w:t xml:space="preserve">  主要原辅料理化性质及毒性、腐蚀性</w:t>
            </w:r>
          </w:p>
          <w:tbl>
            <w:tblPr>
              <w:tblStyle w:val="21"/>
              <w:tblW w:w="8302"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289"/>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b/>
                      <w:bCs/>
                      <w:kern w:val="2"/>
                      <w:lang w:val="en-US" w:eastAsia="zh-CN"/>
                    </w:rPr>
                  </w:pPr>
                  <w:r>
                    <w:rPr>
                      <w:b/>
                      <w:bCs/>
                      <w:kern w:val="2"/>
                      <w:lang w:val="en-US" w:eastAsia="zh-CN"/>
                    </w:rPr>
                    <w:t>序号</w:t>
                  </w:r>
                </w:p>
              </w:tc>
              <w:tc>
                <w:tcPr>
                  <w:tcW w:w="1289" w:type="dxa"/>
                  <w:vAlign w:val="center"/>
                </w:tcPr>
                <w:p>
                  <w:pPr>
                    <w:pStyle w:val="41"/>
                    <w:rPr>
                      <w:b/>
                      <w:bCs/>
                      <w:kern w:val="2"/>
                      <w:lang w:val="en-US" w:eastAsia="zh-CN"/>
                    </w:rPr>
                  </w:pPr>
                  <w:r>
                    <w:rPr>
                      <w:b/>
                      <w:bCs/>
                      <w:kern w:val="2"/>
                      <w:lang w:val="en-US" w:eastAsia="zh-CN"/>
                    </w:rPr>
                    <w:t>名称</w:t>
                  </w:r>
                </w:p>
              </w:tc>
              <w:tc>
                <w:tcPr>
                  <w:tcW w:w="6333" w:type="dxa"/>
                  <w:vAlign w:val="center"/>
                </w:tcPr>
                <w:p>
                  <w:pPr>
                    <w:pStyle w:val="41"/>
                    <w:rPr>
                      <w:b/>
                      <w:bCs/>
                      <w:kern w:val="2"/>
                      <w:lang w:val="en-US" w:eastAsia="zh-CN"/>
                    </w:rPr>
                  </w:pPr>
                  <w:r>
                    <w:rPr>
                      <w:b/>
                      <w:bCs/>
                      <w:kern w:val="2"/>
                      <w:lang w:val="en-US" w:eastAsia="zh-CN"/>
                    </w:rPr>
                    <w:t>理化性质及毒性</w:t>
                  </w:r>
                  <w:r>
                    <w:rPr>
                      <w:rFonts w:hint="eastAsia"/>
                      <w:b/>
                      <w:bCs/>
                      <w:kern w:val="2"/>
                      <w:lang w:val="en-US" w:eastAsia="zh-CN"/>
                    </w:rPr>
                    <w:t>、</w:t>
                  </w:r>
                  <w:r>
                    <w:rPr>
                      <w:b/>
                      <w:bCs/>
                      <w:kern w:val="2"/>
                      <w:lang w:val="en-US" w:eastAsia="zh-CN"/>
                    </w:rPr>
                    <w:t>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1</w:t>
                  </w:r>
                </w:p>
              </w:tc>
              <w:tc>
                <w:tcPr>
                  <w:tcW w:w="1289" w:type="dxa"/>
                  <w:vAlign w:val="center"/>
                </w:tcPr>
                <w:p>
                  <w:pPr>
                    <w:pStyle w:val="41"/>
                    <w:rPr>
                      <w:kern w:val="2"/>
                      <w:lang w:val="en-US" w:eastAsia="zh-CN"/>
                    </w:rPr>
                  </w:pPr>
                  <w:r>
                    <w:rPr>
                      <w:rFonts w:hint="eastAsia"/>
                      <w:kern w:val="2"/>
                      <w:lang w:val="en-US" w:eastAsia="zh-CN"/>
                    </w:rPr>
                    <w:t>盐酸</w:t>
                  </w:r>
                </w:p>
              </w:tc>
              <w:tc>
                <w:tcPr>
                  <w:tcW w:w="6333" w:type="dxa"/>
                  <w:vAlign w:val="center"/>
                </w:tcPr>
                <w:p>
                  <w:pPr>
                    <w:pStyle w:val="41"/>
                    <w:jc w:val="both"/>
                    <w:rPr>
                      <w:kern w:val="2"/>
                      <w:lang w:val="en-US" w:eastAsia="zh-CN"/>
                    </w:rPr>
                  </w:pPr>
                  <w:r>
                    <w:rPr>
                      <w:rFonts w:hint="eastAsia"/>
                      <w:kern w:val="2"/>
                      <w:lang w:val="en-US" w:eastAsia="zh-CN"/>
                    </w:rPr>
                    <w:t>分子式：HCl，无色或微黄色发烟液体，有刺鼻的酸味，熔点（</w:t>
                  </w:r>
                  <w:r>
                    <w:rPr>
                      <w:kern w:val="2"/>
                      <w:lang w:val="en-US" w:eastAsia="zh-CN"/>
                    </w:rPr>
                    <w:t>℃</w:t>
                  </w:r>
                  <w:r>
                    <w:rPr>
                      <w:rFonts w:hint="eastAsia"/>
                      <w:kern w:val="2"/>
                      <w:lang w:val="en-US" w:eastAsia="zh-CN"/>
                    </w:rPr>
                    <w:t>）：-114.8（纯),沸点（</w:t>
                  </w:r>
                  <w:r>
                    <w:rPr>
                      <w:kern w:val="2"/>
                      <w:lang w:val="en-US" w:eastAsia="zh-CN"/>
                    </w:rPr>
                    <w:t>℃</w:t>
                  </w:r>
                  <w:r>
                    <w:rPr>
                      <w:rFonts w:hint="eastAsia"/>
                      <w:kern w:val="2"/>
                      <w:lang w:val="en-US" w:eastAsia="zh-CN"/>
                    </w:rPr>
                    <w:t>）：108.6（20%），相对密度（水=1）：1.20，相对蒸汽密度（空气=1）：1.26，与水混溶，溶于碱液</w:t>
                  </w:r>
                </w:p>
                <w:p>
                  <w:pPr>
                    <w:pStyle w:val="41"/>
                    <w:jc w:val="both"/>
                    <w:rPr>
                      <w:kern w:val="2"/>
                      <w:lang w:val="en-US" w:eastAsia="zh-CN"/>
                    </w:rPr>
                  </w:pPr>
                  <w:r>
                    <w:rPr>
                      <w:rFonts w:hint="eastAsia"/>
                      <w:kern w:val="2"/>
                      <w:lang w:val="en-US" w:eastAsia="zh-CN"/>
                    </w:rPr>
                    <w:t>本品不燃，具强腐蚀性，</w:t>
                  </w:r>
                  <w:r>
                    <w:rPr>
                      <w:kern w:val="2"/>
                      <w:lang w:val="en-US" w:eastAsia="zh-CN"/>
                    </w:rPr>
                    <w:t>强刺激性，可致人体灼伤。</w:t>
                  </w:r>
                </w:p>
                <w:p>
                  <w:pPr>
                    <w:pStyle w:val="41"/>
                    <w:jc w:val="both"/>
                    <w:rPr>
                      <w:kern w:val="2"/>
                      <w:lang w:val="en-US" w:eastAsia="zh-CN"/>
                    </w:rPr>
                  </w:pPr>
                  <w:r>
                    <w:rPr>
                      <w:rFonts w:hint="eastAsia"/>
                      <w:kern w:val="2"/>
                      <w:lang w:val="en-US" w:eastAsia="zh-CN"/>
                    </w:rPr>
                    <w:t>LD 50 900mg/kg（兔经口）；LC 50 4600mg/m</w:t>
                  </w:r>
                  <w:r>
                    <w:rPr>
                      <w:rFonts w:hint="eastAsia"/>
                      <w:kern w:val="2"/>
                      <w:vertAlign w:val="superscript"/>
                      <w:lang w:val="en-US" w:eastAsia="zh-CN"/>
                    </w:rPr>
                    <w:t>3</w:t>
                  </w:r>
                  <w:r>
                    <w:rPr>
                      <w:rFonts w:hint="eastAsia"/>
                      <w:kern w:val="2"/>
                      <w:lang w:val="en-US" w:eastAsia="zh-CN"/>
                    </w:rPr>
                    <w:t>，1小时（大鼠吸入）嗅阈值：0.39-0.45mg/m</w:t>
                  </w:r>
                  <w:r>
                    <w:rPr>
                      <w:rFonts w:hint="eastAsia"/>
                      <w:kern w:val="2"/>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2</w:t>
                  </w:r>
                </w:p>
              </w:tc>
              <w:tc>
                <w:tcPr>
                  <w:tcW w:w="1289" w:type="dxa"/>
                  <w:vAlign w:val="center"/>
                </w:tcPr>
                <w:p>
                  <w:pPr>
                    <w:pStyle w:val="41"/>
                    <w:rPr>
                      <w:kern w:val="2"/>
                      <w:lang w:val="en-US" w:eastAsia="zh-CN"/>
                    </w:rPr>
                  </w:pPr>
                  <w:r>
                    <w:rPr>
                      <w:kern w:val="2"/>
                      <w:lang w:val="en-US" w:eastAsia="zh-CN"/>
                    </w:rPr>
                    <w:t>硫酸</w:t>
                  </w:r>
                </w:p>
              </w:tc>
              <w:tc>
                <w:tcPr>
                  <w:tcW w:w="6333" w:type="dxa"/>
                  <w:vAlign w:val="center"/>
                </w:tcPr>
                <w:p>
                  <w:pPr>
                    <w:pStyle w:val="41"/>
                    <w:jc w:val="both"/>
                    <w:rPr>
                      <w:kern w:val="2"/>
                      <w:lang w:val="en-US" w:eastAsia="zh-CN"/>
                    </w:rPr>
                  </w:pPr>
                  <w:r>
                    <w:rPr>
                      <w:rFonts w:hint="eastAsia"/>
                      <w:kern w:val="2"/>
                      <w:lang w:val="en-US" w:eastAsia="zh-CN"/>
                    </w:rPr>
                    <w:t>分子式：</w:t>
                  </w:r>
                  <w:r>
                    <w:rPr>
                      <w:kern w:val="2"/>
                      <w:lang w:val="en-US" w:eastAsia="zh-CN"/>
                    </w:rPr>
                    <w:t>H2SO4（98.08）；纯品为无色透明油状液体，无臭。（空气=1）3.4，熔点10.5℃，沸点330.0℃，蒸气压0.13（145.8℃）</w:t>
                  </w:r>
                  <w:r>
                    <w:rPr>
                      <w:rFonts w:hint="eastAsia"/>
                      <w:kern w:val="2"/>
                      <w:lang w:val="en-US" w:eastAsia="zh-CN"/>
                    </w:rPr>
                    <w:t>，</w:t>
                  </w:r>
                  <w:r>
                    <w:rPr>
                      <w:kern w:val="2"/>
                      <w:lang w:val="en-US" w:eastAsia="zh-CN"/>
                    </w:rPr>
                    <w:t>与水混溶。</w:t>
                  </w:r>
                </w:p>
                <w:p>
                  <w:pPr>
                    <w:pStyle w:val="41"/>
                    <w:jc w:val="both"/>
                    <w:rPr>
                      <w:kern w:val="2"/>
                      <w:lang w:val="en-US" w:eastAsia="zh-CN"/>
                    </w:rPr>
                  </w:pPr>
                  <w:r>
                    <w:rPr>
                      <w:kern w:val="2"/>
                      <w:lang w:val="en-US" w:eastAsia="zh-CN"/>
                    </w:rPr>
                    <w:t>LD502140mg/kg（大鼠经口）；LC50510mg/m</w:t>
                  </w:r>
                  <w:r>
                    <w:rPr>
                      <w:kern w:val="2"/>
                      <w:vertAlign w:val="superscript"/>
                      <w:lang w:val="en-US" w:eastAsia="zh-CN"/>
                    </w:rPr>
                    <w:t>3</w:t>
                  </w:r>
                  <w:r>
                    <w:rPr>
                      <w:kern w:val="2"/>
                      <w:lang w:val="en-US" w:eastAsia="zh-CN"/>
                    </w:rPr>
                    <w:t>，2小时（大鼠吸入）</w:t>
                  </w:r>
                  <w:r>
                    <w:rPr>
                      <w:rFonts w:hint="eastAsia"/>
                      <w:kern w:val="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3</w:t>
                  </w:r>
                </w:p>
              </w:tc>
              <w:tc>
                <w:tcPr>
                  <w:tcW w:w="1289" w:type="dxa"/>
                  <w:vAlign w:val="center"/>
                </w:tcPr>
                <w:p>
                  <w:pPr>
                    <w:pStyle w:val="41"/>
                    <w:rPr>
                      <w:kern w:val="2"/>
                      <w:lang w:val="en-US" w:eastAsia="zh-CN"/>
                    </w:rPr>
                  </w:pPr>
                  <w:r>
                    <w:rPr>
                      <w:rFonts w:hint="eastAsia"/>
                      <w:kern w:val="2"/>
                      <w:lang w:val="en-US" w:eastAsia="zh-CN"/>
                    </w:rPr>
                    <w:t>氢氧化钠</w:t>
                  </w:r>
                </w:p>
              </w:tc>
              <w:tc>
                <w:tcPr>
                  <w:tcW w:w="6333" w:type="dxa"/>
                  <w:vAlign w:val="center"/>
                </w:tcPr>
                <w:p>
                  <w:pPr>
                    <w:pStyle w:val="41"/>
                    <w:jc w:val="both"/>
                    <w:rPr>
                      <w:kern w:val="2"/>
                      <w:lang w:val="en-US" w:eastAsia="zh-CN"/>
                    </w:rPr>
                  </w:pPr>
                  <w:r>
                    <w:rPr>
                      <w:kern w:val="2"/>
                      <w:lang w:val="en-US" w:eastAsia="zh-CN"/>
                    </w:rPr>
                    <w:t>俗称烧碱、火碱、苛性钠，为一种具有强腐蚀性的</w:t>
                  </w:r>
                  <w:r>
                    <w:fldChar w:fldCharType="begin"/>
                  </w:r>
                  <w:r>
                    <w:instrText xml:space="preserve"> HYPERLINK "https://baike.so.com/doc/81217-85715.html" \t "https://baike.so.com/doc/_blank" </w:instrText>
                  </w:r>
                  <w:r>
                    <w:fldChar w:fldCharType="separate"/>
                  </w:r>
                  <w:r>
                    <w:rPr>
                      <w:kern w:val="2"/>
                      <w:lang w:val="en-US" w:eastAsia="zh-CN"/>
                    </w:rPr>
                    <w:t>强碱</w:t>
                  </w:r>
                  <w:r>
                    <w:rPr>
                      <w:kern w:val="2"/>
                      <w:lang w:val="en-US" w:eastAsia="zh-CN"/>
                    </w:rPr>
                    <w:fldChar w:fldCharType="end"/>
                  </w:r>
                  <w:r>
                    <w:rPr>
                      <w:kern w:val="2"/>
                      <w:lang w:val="en-US" w:eastAsia="zh-CN"/>
                    </w:rPr>
                    <w:t>，一般为片状或颗粒形态，易溶于水</w:t>
                  </w:r>
                  <w:r>
                    <w:rPr>
                      <w:rFonts w:hint="eastAsia"/>
                      <w:kern w:val="2"/>
                      <w:lang w:val="en-US" w:eastAsia="zh-CN"/>
                    </w:rPr>
                    <w:t>（</w:t>
                  </w:r>
                  <w:r>
                    <w:rPr>
                      <w:kern w:val="2"/>
                      <w:lang w:val="en-US" w:eastAsia="zh-CN"/>
                    </w:rPr>
                    <w:t>溶于水时放热</w:t>
                  </w:r>
                  <w:r>
                    <w:rPr>
                      <w:rFonts w:hint="eastAsia"/>
                      <w:kern w:val="2"/>
                      <w:lang w:val="en-US" w:eastAsia="zh-CN"/>
                    </w:rPr>
                    <w:t>）</w:t>
                  </w:r>
                  <w:r>
                    <w:rPr>
                      <w:kern w:val="2"/>
                      <w:lang w:val="en-US" w:eastAsia="zh-CN"/>
                    </w:rPr>
                    <w:t>并形成碱性溶液，另有</w:t>
                  </w:r>
                  <w:r>
                    <w:fldChar w:fldCharType="begin"/>
                  </w:r>
                  <w:r>
                    <w:instrText xml:space="preserve"> HYPERLINK "https://baike.so.com/doc/2628817-2775779.html" \t "https://baike.so.com/doc/_blank" </w:instrText>
                  </w:r>
                  <w:r>
                    <w:fldChar w:fldCharType="separate"/>
                  </w:r>
                  <w:r>
                    <w:rPr>
                      <w:kern w:val="2"/>
                      <w:lang w:val="en-US" w:eastAsia="zh-CN"/>
                    </w:rPr>
                    <w:t>潮解性</w:t>
                  </w:r>
                  <w:r>
                    <w:rPr>
                      <w:kern w:val="2"/>
                      <w:lang w:val="en-US" w:eastAsia="zh-CN"/>
                    </w:rPr>
                    <w:fldChar w:fldCharType="end"/>
                  </w:r>
                  <w:r>
                    <w:rPr>
                      <w:kern w:val="2"/>
                      <w:lang w:val="en-US" w:eastAsia="zh-CN"/>
                    </w:rPr>
                    <w:t>，易吸取空气中的水蒸气(潮解)和二氧化碳(变质)。纯品是无色透明的晶体。密度2.130g/cm³</w:t>
                  </w:r>
                  <w:r>
                    <w:rPr>
                      <w:rFonts w:hint="eastAsia"/>
                      <w:kern w:val="2"/>
                      <w:lang w:val="en-US" w:eastAsia="zh-CN"/>
                    </w:rPr>
                    <w:t>，</w:t>
                  </w:r>
                  <w:r>
                    <w:rPr>
                      <w:kern w:val="2"/>
                      <w:lang w:val="en-US" w:eastAsia="zh-CN"/>
                    </w:rPr>
                    <w:t>熔点318.4℃</w:t>
                  </w:r>
                  <w:r>
                    <w:rPr>
                      <w:rFonts w:hint="eastAsia"/>
                      <w:kern w:val="2"/>
                      <w:lang w:val="en-US" w:eastAsia="zh-CN"/>
                    </w:rPr>
                    <w:t>，</w:t>
                  </w:r>
                  <w:r>
                    <w:rPr>
                      <w:kern w:val="2"/>
                      <w:lang w:val="en-US" w:eastAsia="zh-CN"/>
                    </w:rPr>
                    <w:t>沸点1390℃。</w:t>
                  </w:r>
                </w:p>
                <w:p>
                  <w:pPr>
                    <w:pStyle w:val="41"/>
                    <w:jc w:val="both"/>
                    <w:rPr>
                      <w:kern w:val="2"/>
                      <w:lang w:val="en-US" w:eastAsia="zh-CN"/>
                    </w:rPr>
                  </w:pPr>
                  <w:r>
                    <w:rPr>
                      <w:kern w:val="2"/>
                      <w:lang w:val="en-US" w:eastAsia="zh-CN"/>
                    </w:rPr>
                    <w:t>有强烈刺激和腐蚀性。粉尘或烟雾会刺激眼和呼吸道，腐蚀鼻中隔，皮肤和眼与氢氧化钠直接接触会引起灼伤，误服可造成消化道灼伤，粘膜糜烂、出血和休克。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4</w:t>
                  </w:r>
                </w:p>
              </w:tc>
              <w:tc>
                <w:tcPr>
                  <w:tcW w:w="1289" w:type="dxa"/>
                  <w:vAlign w:val="center"/>
                </w:tcPr>
                <w:p>
                  <w:pPr>
                    <w:pStyle w:val="41"/>
                    <w:rPr>
                      <w:kern w:val="2"/>
                      <w:lang w:val="en-US" w:eastAsia="zh-CN"/>
                    </w:rPr>
                  </w:pPr>
                  <w:r>
                    <w:rPr>
                      <w:rFonts w:hint="eastAsia"/>
                      <w:kern w:val="2"/>
                      <w:lang w:val="en-US" w:eastAsia="zh-CN"/>
                    </w:rPr>
                    <w:t>乙醇</w:t>
                  </w:r>
                </w:p>
              </w:tc>
              <w:tc>
                <w:tcPr>
                  <w:tcW w:w="6333" w:type="dxa"/>
                  <w:vAlign w:val="center"/>
                </w:tcPr>
                <w:p>
                  <w:pPr>
                    <w:pStyle w:val="41"/>
                    <w:jc w:val="both"/>
                    <w:rPr>
                      <w:kern w:val="2"/>
                      <w:lang w:val="en-US" w:eastAsia="zh-CN"/>
                    </w:rPr>
                  </w:pPr>
                  <w:r>
                    <w:rPr>
                      <w:rFonts w:hint="eastAsia"/>
                      <w:kern w:val="2"/>
                      <w:lang w:val="en-US" w:eastAsia="zh-CN"/>
                    </w:rPr>
                    <w:t>无色液体，有酒香，熔点：-114.1</w:t>
                  </w:r>
                  <w:r>
                    <w:rPr>
                      <w:kern w:val="2"/>
                      <w:lang w:val="en-US" w:eastAsia="zh-CN"/>
                    </w:rPr>
                    <w:t>℃</w:t>
                  </w:r>
                  <w:r>
                    <w:rPr>
                      <w:rFonts w:hint="eastAsia"/>
                      <w:kern w:val="2"/>
                      <w:lang w:val="en-US" w:eastAsia="zh-CN"/>
                    </w:rPr>
                    <w:t>，沸点:78.3</w:t>
                  </w:r>
                  <w:r>
                    <w:rPr>
                      <w:kern w:val="2"/>
                      <w:lang w:val="en-US" w:eastAsia="zh-CN"/>
                    </w:rPr>
                    <w:t>℃</w:t>
                  </w:r>
                  <w:r>
                    <w:rPr>
                      <w:rFonts w:hint="eastAsia"/>
                      <w:kern w:val="2"/>
                      <w:lang w:val="en-US" w:eastAsia="zh-CN"/>
                    </w:rPr>
                    <w:t>,与水混溶，可混溶于醚、氯仿、甘油等多数溶媒溶剂。易燃。</w:t>
                  </w:r>
                </w:p>
                <w:p>
                  <w:r>
                    <w:rPr>
                      <w:rFonts w:hint="eastAsia"/>
                    </w:rPr>
                    <w:t>LD 50 7060mg/kg（兔经口）；LC 50 37620mg/m</w:t>
                  </w:r>
                  <w:r>
                    <w:rPr>
                      <w:rFonts w:hint="eastAsia"/>
                      <w:vertAlign w:val="superscript"/>
                    </w:rPr>
                    <w:t>3</w:t>
                  </w:r>
                  <w:r>
                    <w:rPr>
                      <w:rFonts w:hint="eastAsia"/>
                    </w:rPr>
                    <w:t>，10小时（大鼠吸入）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5</w:t>
                  </w:r>
                </w:p>
              </w:tc>
              <w:tc>
                <w:tcPr>
                  <w:tcW w:w="1289" w:type="dxa"/>
                  <w:vAlign w:val="center"/>
                </w:tcPr>
                <w:p>
                  <w:pPr>
                    <w:pStyle w:val="41"/>
                    <w:rPr>
                      <w:kern w:val="2"/>
                      <w:lang w:val="en-US" w:eastAsia="zh-CN"/>
                    </w:rPr>
                  </w:pPr>
                  <w:r>
                    <w:rPr>
                      <w:rFonts w:hint="eastAsia"/>
                      <w:kern w:val="2"/>
                      <w:lang w:val="en-US" w:eastAsia="zh-CN"/>
                    </w:rPr>
                    <w:t>过氧化氢</w:t>
                  </w:r>
                </w:p>
              </w:tc>
              <w:tc>
                <w:tcPr>
                  <w:tcW w:w="6333" w:type="dxa"/>
                  <w:vAlign w:val="center"/>
                </w:tcPr>
                <w:p>
                  <w:pPr>
                    <w:pStyle w:val="41"/>
                    <w:ind w:firstLine="420" w:firstLineChars="200"/>
                    <w:jc w:val="both"/>
                    <w:rPr>
                      <w:kern w:val="2"/>
                      <w:lang w:val="en-US" w:eastAsia="zh-CN"/>
                    </w:rPr>
                  </w:pPr>
                  <w:r>
                    <w:rPr>
                      <w:rFonts w:hint="eastAsia"/>
                      <w:kern w:val="2"/>
                      <w:lang w:val="en-US" w:eastAsia="zh-CN"/>
                    </w:rPr>
                    <w:t>蓝色黏稠状液体,水溶液为无色透明液体熔点：-0.43℃，沸点150.2℃，与水混溶，密度1.13g/mL（20℃）。</w:t>
                  </w:r>
                  <w:r>
                    <w:rPr>
                      <w:kern w:val="2"/>
                      <w:szCs w:val="21"/>
                      <w:shd w:val="clear" w:color="auto" w:fill="FFFFFF"/>
                      <w:lang w:val="en-US" w:eastAsia="zh-CN"/>
                    </w:rPr>
                    <w:t>溶于水、醇、</w:t>
                  </w:r>
                  <w:r>
                    <w:fldChar w:fldCharType="begin"/>
                  </w:r>
                  <w:r>
                    <w:instrText xml:space="preserve"> HYPERLINK "https://baike.baidu.com/item/%E4%B9%99%E9%86%9A" \t "https://baike.baidu.com/item/%E8%BF%87%E6%B0%A7%E5%8C%96%E6%B0%A2/_blank" </w:instrText>
                  </w:r>
                  <w:r>
                    <w:fldChar w:fldCharType="separate"/>
                  </w:r>
                  <w:r>
                    <w:rPr>
                      <w:rStyle w:val="26"/>
                      <w:color w:val="auto"/>
                      <w:kern w:val="2"/>
                      <w:szCs w:val="21"/>
                      <w:u w:val="none"/>
                      <w:shd w:val="clear" w:color="auto" w:fill="FFFFFF"/>
                      <w:lang w:val="en-US" w:eastAsia="zh-CN"/>
                    </w:rPr>
                    <w:t>乙醚</w:t>
                  </w:r>
                  <w:r>
                    <w:rPr>
                      <w:rStyle w:val="26"/>
                      <w:color w:val="auto"/>
                      <w:kern w:val="2"/>
                      <w:szCs w:val="21"/>
                      <w:u w:val="none"/>
                      <w:shd w:val="clear" w:color="auto" w:fill="FFFFFF"/>
                      <w:lang w:val="en-US" w:eastAsia="zh-CN"/>
                    </w:rPr>
                    <w:fldChar w:fldCharType="end"/>
                  </w:r>
                  <w:r>
                    <w:rPr>
                      <w:kern w:val="2"/>
                      <w:szCs w:val="21"/>
                      <w:shd w:val="clear" w:color="auto" w:fill="FFFFFF"/>
                      <w:lang w:val="en-US" w:eastAsia="zh-CN"/>
                    </w:rPr>
                    <w:t>，不溶于</w:t>
                  </w:r>
                  <w:r>
                    <w:fldChar w:fldCharType="begin"/>
                  </w:r>
                  <w:r>
                    <w:instrText xml:space="preserve"> HYPERLINK "https://baike.baidu.com/item/%E8%8B%AF" \t "https://baike.baidu.com/item/%E8%BF%87%E6%B0%A7%E5%8C%96%E6%B0%A2/_blank" </w:instrText>
                  </w:r>
                  <w:r>
                    <w:fldChar w:fldCharType="separate"/>
                  </w:r>
                  <w:r>
                    <w:rPr>
                      <w:rStyle w:val="26"/>
                      <w:color w:val="auto"/>
                      <w:kern w:val="2"/>
                      <w:szCs w:val="21"/>
                      <w:u w:val="none"/>
                      <w:shd w:val="clear" w:color="auto" w:fill="FFFFFF"/>
                      <w:lang w:val="en-US" w:eastAsia="zh-CN"/>
                    </w:rPr>
                    <w:t>苯</w:t>
                  </w:r>
                  <w:r>
                    <w:rPr>
                      <w:rStyle w:val="26"/>
                      <w:color w:val="auto"/>
                      <w:kern w:val="2"/>
                      <w:szCs w:val="21"/>
                      <w:u w:val="none"/>
                      <w:shd w:val="clear" w:color="auto" w:fill="FFFFFF"/>
                      <w:lang w:val="en-US" w:eastAsia="zh-CN"/>
                    </w:rPr>
                    <w:fldChar w:fldCharType="end"/>
                  </w:r>
                  <w:r>
                    <w:rPr>
                      <w:kern w:val="2"/>
                      <w:szCs w:val="21"/>
                      <w:shd w:val="clear" w:color="auto" w:fill="FFFFFF"/>
                      <w:lang w:val="en-US" w:eastAsia="zh-CN"/>
                    </w:rPr>
                    <w:t>、</w:t>
                  </w:r>
                  <w:r>
                    <w:fldChar w:fldCharType="begin"/>
                  </w:r>
                  <w:r>
                    <w:instrText xml:space="preserve"> HYPERLINK "https://baike.baidu.com/item/%E7%9F%B3%E6%B2%B9%E9%86%9A" \t "https://baike.baidu.com/item/%E8%BF%87%E6%B0%A7%E5%8C%96%E6%B0%A2/_blank" </w:instrText>
                  </w:r>
                  <w:r>
                    <w:fldChar w:fldCharType="separate"/>
                  </w:r>
                  <w:r>
                    <w:rPr>
                      <w:rStyle w:val="26"/>
                      <w:color w:val="auto"/>
                      <w:kern w:val="2"/>
                      <w:szCs w:val="21"/>
                      <w:u w:val="none"/>
                      <w:shd w:val="clear" w:color="auto" w:fill="FFFFFF"/>
                      <w:lang w:val="en-US" w:eastAsia="zh-CN"/>
                    </w:rPr>
                    <w:t>石油醚</w:t>
                  </w:r>
                  <w:r>
                    <w:rPr>
                      <w:rStyle w:val="26"/>
                      <w:color w:val="auto"/>
                      <w:kern w:val="2"/>
                      <w:szCs w:val="21"/>
                      <w:u w:val="none"/>
                      <w:shd w:val="clear" w:color="auto" w:fill="FFFFFF"/>
                      <w:lang w:val="en-US" w:eastAsia="zh-CN"/>
                    </w:rPr>
                    <w:fldChar w:fldCharType="end"/>
                  </w:r>
                  <w:r>
                    <w:rPr>
                      <w:rFonts w:hint="eastAsia"/>
                      <w:kern w:val="2"/>
                      <w:szCs w:val="21"/>
                      <w:shd w:val="clear" w:color="auto" w:fill="FFFFFF"/>
                      <w:lang w:val="en-US" w:eastAsia="zh-CN"/>
                    </w:rPr>
                    <w:t>。</w:t>
                  </w:r>
                  <w:r>
                    <w:rPr>
                      <w:rFonts w:hint="eastAsia"/>
                      <w:kern w:val="2"/>
                      <w:lang w:val="en-US" w:eastAsia="zh-CN"/>
                    </w:rPr>
                    <w:t>LC50:2000毫克/立方米/4小时（大鼠吸入）；LD50 2000毫克/公斤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6</w:t>
                  </w:r>
                </w:p>
              </w:tc>
              <w:tc>
                <w:tcPr>
                  <w:tcW w:w="1289" w:type="dxa"/>
                  <w:vAlign w:val="center"/>
                </w:tcPr>
                <w:p>
                  <w:pPr>
                    <w:pStyle w:val="41"/>
                    <w:rPr>
                      <w:kern w:val="2"/>
                      <w:lang w:val="en-US" w:eastAsia="zh-CN"/>
                    </w:rPr>
                  </w:pPr>
                  <w:r>
                    <w:rPr>
                      <w:rFonts w:hint="eastAsia"/>
                      <w:kern w:val="2"/>
                      <w:lang w:val="en-US" w:eastAsia="zh-CN"/>
                    </w:rPr>
                    <w:t>高锰酸钾</w:t>
                  </w:r>
                </w:p>
              </w:tc>
              <w:tc>
                <w:tcPr>
                  <w:tcW w:w="6333" w:type="dxa"/>
                  <w:vAlign w:val="center"/>
                </w:tcPr>
                <w:p>
                  <w:pPr>
                    <w:pStyle w:val="41"/>
                    <w:ind w:firstLine="420" w:firstLineChars="200"/>
                    <w:jc w:val="both"/>
                    <w:rPr>
                      <w:kern w:val="2"/>
                      <w:lang w:val="en-US" w:eastAsia="zh-CN"/>
                    </w:rPr>
                  </w:pPr>
                  <w:r>
                    <w:rPr>
                      <w:rFonts w:hint="eastAsia"/>
                      <w:kern w:val="2"/>
                      <w:lang w:val="en-US" w:eastAsia="zh-CN"/>
                    </w:rPr>
                    <w:t>深紫色细长斜方柱状结晶，有金属光泽，</w:t>
                  </w:r>
                  <w:r>
                    <w:rPr>
                      <w:kern w:val="2"/>
                      <w:lang w:val="en-US" w:eastAsia="zh-CN"/>
                    </w:rPr>
                    <w:t>溶于水呈深紫红色溶液</w:t>
                  </w:r>
                  <w:r>
                    <w:rPr>
                      <w:rFonts w:hint="eastAsia"/>
                      <w:kern w:val="2"/>
                      <w:lang w:val="en-US" w:eastAsia="zh-CN"/>
                    </w:rPr>
                    <w:t>。</w:t>
                  </w:r>
                  <w:r>
                    <w:rPr>
                      <w:kern w:val="2"/>
                      <w:lang w:val="en-US" w:eastAsia="zh-CN"/>
                    </w:rPr>
                    <w:t>溶解性：溶于水、碱液，微溶于甲醇、丙酮、硫酸</w:t>
                  </w:r>
                  <w:r>
                    <w:rPr>
                      <w:rFonts w:hint="eastAsia"/>
                      <w:kern w:val="2"/>
                      <w:lang w:val="en-US" w:eastAsia="zh-CN"/>
                    </w:rPr>
                    <w:t>。</w:t>
                  </w:r>
                  <w:r>
                    <w:rPr>
                      <w:kern w:val="2"/>
                      <w:lang w:val="en-US" w:eastAsia="zh-CN"/>
                    </w:rPr>
                    <w:t>密度：1.01g/cm3 at 25°C</w:t>
                  </w:r>
                  <w:r>
                    <w:rPr>
                      <w:rFonts w:hint="eastAsia"/>
                      <w:kern w:val="2"/>
                      <w:lang w:val="en-US" w:eastAsia="zh-CN"/>
                    </w:rPr>
                    <w:t>。</w:t>
                  </w:r>
                  <w:r>
                    <w:rPr>
                      <w:kern w:val="2"/>
                      <w:lang w:val="en-US" w:eastAsia="zh-CN"/>
                    </w:rPr>
                    <w:t>熔点：240°C</w:t>
                  </w:r>
                  <w:r>
                    <w:rPr>
                      <w:rFonts w:hint="eastAsia"/>
                      <w:kern w:val="2"/>
                      <w:lang w:val="en-US" w:eastAsia="zh-CN"/>
                    </w:rPr>
                    <w:t>。LD50：810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0" w:type="dxa"/>
                  <w:vAlign w:val="center"/>
                </w:tcPr>
                <w:p>
                  <w:pPr>
                    <w:pStyle w:val="41"/>
                    <w:rPr>
                      <w:kern w:val="2"/>
                      <w:lang w:val="en-US" w:eastAsia="zh-CN"/>
                    </w:rPr>
                  </w:pPr>
                  <w:r>
                    <w:rPr>
                      <w:rFonts w:hint="eastAsia"/>
                      <w:kern w:val="2"/>
                      <w:lang w:val="en-US" w:eastAsia="zh-CN"/>
                    </w:rPr>
                    <w:t>7</w:t>
                  </w:r>
                </w:p>
              </w:tc>
              <w:tc>
                <w:tcPr>
                  <w:tcW w:w="1289" w:type="dxa"/>
                  <w:vAlign w:val="center"/>
                </w:tcPr>
                <w:p>
                  <w:pPr>
                    <w:pStyle w:val="41"/>
                    <w:rPr>
                      <w:kern w:val="2"/>
                      <w:lang w:val="en-US" w:eastAsia="zh-CN"/>
                    </w:rPr>
                  </w:pPr>
                  <w:r>
                    <w:rPr>
                      <w:rFonts w:hint="eastAsia"/>
                      <w:kern w:val="2"/>
                      <w:lang w:val="en-US" w:eastAsia="zh-CN"/>
                    </w:rPr>
                    <w:t>天然气</w:t>
                  </w:r>
                </w:p>
              </w:tc>
              <w:tc>
                <w:tcPr>
                  <w:tcW w:w="6333" w:type="dxa"/>
                  <w:vAlign w:val="center"/>
                </w:tcPr>
                <w:p>
                  <w:pPr>
                    <w:pStyle w:val="41"/>
                    <w:jc w:val="both"/>
                    <w:rPr>
                      <w:kern w:val="2"/>
                      <w:lang w:val="en-US" w:eastAsia="zh-CN"/>
                    </w:rPr>
                  </w:pPr>
                  <w:r>
                    <w:rPr>
                      <w:rFonts w:hint="eastAsia"/>
                      <w:kern w:val="2"/>
                      <w:lang w:val="en-US" w:eastAsia="zh-CN"/>
                    </w:rPr>
                    <w:t>甲烷是天然气最主要的组分，它是无色、无臭、无味、无毒性的气体，比空气轻，微溶于水。甲烷是可燃气体，具有爆炸性。甲烷的临界温度是-82.1℃，临界压力是4640kPa（绝对压力）。经过处理的天然气具有无腐蚀性、易燃易爆等主要化学特性</w:t>
                  </w:r>
                </w:p>
              </w:tc>
            </w:tr>
          </w:tbl>
          <w:p>
            <w:pPr>
              <w:spacing w:beforeLines="100" w:line="360" w:lineRule="auto"/>
              <w:ind w:firstLine="480" w:firstLineChars="200"/>
              <w:rPr>
                <w:sz w:val="24"/>
                <w:lang w:val="en-CA"/>
              </w:rPr>
            </w:pPr>
            <w:r>
              <w:rPr>
                <w:rFonts w:hint="eastAsia"/>
                <w:sz w:val="24"/>
              </w:rPr>
              <w:t>②</w:t>
            </w:r>
            <w:r>
              <w:rPr>
                <w:rFonts w:hint="eastAsia"/>
                <w:sz w:val="24"/>
                <w:lang w:val="en-CA"/>
              </w:rPr>
              <w:t>生产系统危险性识别</w:t>
            </w:r>
          </w:p>
          <w:p>
            <w:pPr>
              <w:spacing w:line="360" w:lineRule="auto"/>
              <w:ind w:firstLine="480" w:firstLineChars="200"/>
              <w:rPr>
                <w:sz w:val="24"/>
              </w:rPr>
            </w:pPr>
            <w:r>
              <w:rPr>
                <w:rFonts w:hint="eastAsia"/>
                <w:sz w:val="24"/>
                <w:lang w:val="en-CA"/>
              </w:rPr>
              <w:t>拟建项目涉及危化品均为密闭容器储存，</w:t>
            </w:r>
            <w:r>
              <w:rPr>
                <w:sz w:val="24"/>
                <w:lang w:val="en-CA"/>
              </w:rPr>
              <w:t>涉及危险单元</w:t>
            </w:r>
            <w:r>
              <w:rPr>
                <w:rFonts w:hint="eastAsia"/>
                <w:sz w:val="24"/>
                <w:lang w:val="en-CA"/>
              </w:rPr>
              <w:t>主要为</w:t>
            </w:r>
            <w:r>
              <w:rPr>
                <w:rFonts w:hint="eastAsia"/>
                <w:sz w:val="24"/>
              </w:rPr>
              <w:t>实验室、危废暂存间、试剂库</w:t>
            </w:r>
            <w:r>
              <w:rPr>
                <w:rFonts w:hint="eastAsia"/>
                <w:sz w:val="24"/>
                <w:lang w:val="en-CA"/>
              </w:rPr>
              <w:t>。</w:t>
            </w:r>
          </w:p>
          <w:p>
            <w:pPr>
              <w:spacing w:line="360" w:lineRule="auto"/>
              <w:ind w:firstLine="480" w:firstLineChars="200"/>
              <w:rPr>
                <w:sz w:val="24"/>
                <w:lang w:val="en-CA"/>
              </w:rPr>
            </w:pPr>
            <w:r>
              <w:rPr>
                <w:sz w:val="24"/>
              </w:rPr>
              <w:t>③</w:t>
            </w:r>
            <w:r>
              <w:rPr>
                <w:sz w:val="24"/>
                <w:lang w:val="en-CA"/>
              </w:rPr>
              <w:t>危险物质向环境转移途径识别</w:t>
            </w:r>
          </w:p>
          <w:p>
            <w:pPr>
              <w:spacing w:line="360" w:lineRule="auto"/>
              <w:ind w:firstLine="480" w:firstLineChars="200"/>
              <w:rPr>
                <w:sz w:val="24"/>
                <w:lang w:val="en-CA"/>
              </w:rPr>
            </w:pPr>
            <w:r>
              <w:rPr>
                <w:rFonts w:hint="eastAsia"/>
                <w:sz w:val="24"/>
              </w:rPr>
              <w:t>乙醇通过泄露挥发、火灾经大气扩散对周围大气产生影响；沾有危化品的废包装与碎玻璃、硫酸、氢氧化钠通过泄露对周边土壤、地下水环境产生影响；过期失效的化学试剂通过泄露、火灾对周边大气、地下水、土壤环境产生影响；天然气通过泄露、火灾、爆炸对周边大气环境产生影响。</w:t>
            </w:r>
          </w:p>
          <w:p>
            <w:pPr>
              <w:spacing w:line="360" w:lineRule="auto"/>
              <w:ind w:firstLine="480" w:firstLineChars="200"/>
              <w:rPr>
                <w:sz w:val="24"/>
              </w:rPr>
            </w:pPr>
            <w:r>
              <w:rPr>
                <w:rFonts w:hint="eastAsia"/>
                <w:sz w:val="24"/>
              </w:rPr>
              <w:t>（2）风险防范措施</w:t>
            </w:r>
          </w:p>
          <w:p>
            <w:pPr>
              <w:spacing w:line="360" w:lineRule="auto"/>
              <w:ind w:firstLine="482" w:firstLineChars="200"/>
              <w:rPr>
                <w:b/>
                <w:bCs/>
                <w:sz w:val="24"/>
              </w:rPr>
            </w:pPr>
            <w:r>
              <w:rPr>
                <w:rFonts w:hint="eastAsia"/>
                <w:b/>
                <w:bCs/>
                <w:sz w:val="24"/>
              </w:rPr>
              <w:t>大气环境风险防范措施：</w:t>
            </w:r>
          </w:p>
          <w:p>
            <w:pPr>
              <w:pStyle w:val="6"/>
              <w:spacing w:before="0" w:after="0" w:line="360" w:lineRule="auto"/>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定时维护实验室集气排气设施，</w:t>
            </w:r>
            <w:r>
              <w:rPr>
                <w:rFonts w:hint="eastAsia" w:ascii="宋体" w:hAnsi="宋体" w:eastAsia="宋体" w:cs="宋体"/>
                <w:b w:val="0"/>
                <w:bCs w:val="0"/>
                <w:sz w:val="24"/>
              </w:rPr>
              <w:t>要加强生管理，制定严格的实验操作规范，安全用电。本项目使用的乙醇属于易燃物，应当储存得当，试剂库设置禁烟标志，采取严格的安全措施，严格控制点火源，配备合理的消防设施</w:t>
            </w:r>
            <w:r>
              <w:rPr>
                <w:rFonts w:hint="eastAsia" w:ascii="宋体" w:hAnsi="宋体" w:eastAsia="宋体" w:cs="宋体"/>
                <w:b w:val="0"/>
                <w:bCs w:val="0"/>
                <w:sz w:val="24"/>
                <w:szCs w:val="24"/>
              </w:rPr>
              <w:t>针。对实验室、试剂库、危废暂存间实时监控，需专人对其负责管理，设置事故状态下安全疏散通道。</w:t>
            </w:r>
          </w:p>
          <w:p>
            <w:pPr>
              <w:spacing w:line="480" w:lineRule="exact"/>
              <w:ind w:firstLine="480" w:firstLineChars="200"/>
            </w:pPr>
            <w:r>
              <w:rPr>
                <w:rFonts w:hint="eastAsia"/>
                <w:sz w:val="24"/>
              </w:rPr>
              <w:t>校园</w:t>
            </w:r>
            <w:r>
              <w:rPr>
                <w:sz w:val="24"/>
              </w:rPr>
              <w:t>的电气设备应严格按照《爆炸和火灾危险环境电力装置设计规范》 （GB50058－2014）进行设计、安装，达到整体防爆要求，并采取静电接地保护施；另外应加强工作人员的安全教育，保持工作面、设备表面清洁，采取正确的清扫方法，及时建设设备也是必不可少的防护措施。</w:t>
            </w:r>
          </w:p>
          <w:p>
            <w:pPr>
              <w:spacing w:line="480" w:lineRule="exact"/>
              <w:ind w:firstLine="482" w:firstLineChars="200"/>
              <w:rPr>
                <w:b/>
                <w:bCs/>
                <w:sz w:val="24"/>
              </w:rPr>
            </w:pPr>
            <w:r>
              <w:rPr>
                <w:b/>
                <w:bCs/>
                <w:sz w:val="24"/>
              </w:rPr>
              <w:t>水环境风险防范措施</w:t>
            </w:r>
            <w:r>
              <w:rPr>
                <w:rFonts w:hint="eastAsia"/>
                <w:b/>
                <w:bCs/>
                <w:sz w:val="24"/>
              </w:rPr>
              <w:t>：</w:t>
            </w:r>
          </w:p>
          <w:p>
            <w:pPr>
              <w:spacing w:line="360" w:lineRule="auto"/>
              <w:ind w:firstLine="480" w:firstLineChars="200"/>
              <w:rPr>
                <w:color w:val="auto"/>
                <w:sz w:val="24"/>
              </w:rPr>
            </w:pPr>
            <w:r>
              <w:rPr>
                <w:color w:val="auto"/>
                <w:sz w:val="24"/>
              </w:rPr>
              <w:t>①建立风险防控体系，对</w:t>
            </w:r>
            <w:r>
              <w:rPr>
                <w:rFonts w:hint="eastAsia"/>
                <w:color w:val="auto"/>
                <w:sz w:val="24"/>
              </w:rPr>
              <w:t>危险单元进行一级防控</w:t>
            </w:r>
            <w:r>
              <w:rPr>
                <w:color w:val="auto"/>
                <w:sz w:val="24"/>
              </w:rPr>
              <w:t>。</w:t>
            </w:r>
          </w:p>
          <w:p>
            <w:pPr>
              <w:pStyle w:val="5"/>
              <w:spacing w:before="0" w:beforeAutospacing="0" w:after="0" w:afterAutospacing="0" w:line="360" w:lineRule="auto"/>
              <w:ind w:firstLine="480" w:firstLineChars="200"/>
              <w:rPr>
                <w:rFonts w:hint="default" w:ascii="Times New Roman" w:hAnsi="Times New Roman"/>
                <w:b w:val="0"/>
                <w:bCs w:val="0"/>
                <w:color w:val="auto"/>
                <w:sz w:val="24"/>
                <w:szCs w:val="20"/>
                <w:lang w:val="en-CA"/>
              </w:rPr>
            </w:pPr>
            <w:r>
              <w:rPr>
                <w:rFonts w:ascii="Times New Roman" w:hAnsi="Times New Roman"/>
                <w:b w:val="0"/>
                <w:bCs w:val="0"/>
                <w:color w:val="auto"/>
                <w:sz w:val="24"/>
                <w:szCs w:val="20"/>
                <w:lang w:val="en-CA"/>
              </w:rPr>
              <w:t>②危废暂存间、试剂库、实验室内</w:t>
            </w:r>
            <w:r>
              <w:rPr>
                <w:rFonts w:ascii="Times New Roman" w:hAnsi="Times New Roman"/>
                <w:b w:val="0"/>
                <w:bCs w:val="0"/>
                <w:color w:val="auto"/>
                <w:sz w:val="24"/>
                <w:szCs w:val="20"/>
              </w:rPr>
              <w:t>的试剂为密闭瓶装，最大瓶装容量为500mL，放置在防渗漏托盘（0.5m</w:t>
            </w:r>
            <w:r>
              <w:rPr>
                <w:rFonts w:hint="default" w:ascii="Times New Roman" w:hAnsi="Times New Roman"/>
                <w:b w:val="0"/>
                <w:bCs w:val="0"/>
                <w:color w:val="auto"/>
                <w:sz w:val="24"/>
                <w:szCs w:val="20"/>
              </w:rPr>
              <w:t>×</w:t>
            </w:r>
            <w:r>
              <w:rPr>
                <w:rFonts w:ascii="Times New Roman" w:hAnsi="Times New Roman"/>
                <w:b w:val="0"/>
                <w:bCs w:val="0"/>
                <w:color w:val="auto"/>
                <w:sz w:val="24"/>
                <w:szCs w:val="20"/>
              </w:rPr>
              <w:t>0.25m</w:t>
            </w:r>
            <w:r>
              <w:rPr>
                <w:rFonts w:hint="default" w:ascii="Times New Roman" w:hAnsi="Times New Roman"/>
                <w:b w:val="0"/>
                <w:bCs w:val="0"/>
                <w:color w:val="auto"/>
                <w:sz w:val="24"/>
                <w:szCs w:val="20"/>
              </w:rPr>
              <w:t>×</w:t>
            </w:r>
            <w:r>
              <w:rPr>
                <w:rFonts w:ascii="Times New Roman" w:hAnsi="Times New Roman"/>
                <w:b w:val="0"/>
                <w:bCs w:val="0"/>
                <w:color w:val="auto"/>
                <w:sz w:val="24"/>
                <w:szCs w:val="20"/>
              </w:rPr>
              <w:t>0.1m）上</w:t>
            </w:r>
            <w:r>
              <w:rPr>
                <w:rFonts w:ascii="Times New Roman" w:hAnsi="Times New Roman"/>
                <w:b w:val="0"/>
                <w:bCs w:val="0"/>
                <w:color w:val="auto"/>
                <w:sz w:val="24"/>
                <w:szCs w:val="20"/>
                <w:lang w:val="en-CA"/>
              </w:rPr>
              <w:t>，</w:t>
            </w:r>
            <w:r>
              <w:rPr>
                <w:rFonts w:ascii="Times New Roman" w:hAnsi="Times New Roman"/>
                <w:b w:val="0"/>
                <w:bCs w:val="0"/>
                <w:color w:val="auto"/>
                <w:sz w:val="24"/>
                <w:szCs w:val="20"/>
              </w:rPr>
              <w:t>防渗漏托盘</w:t>
            </w:r>
            <w:r>
              <w:rPr>
                <w:rFonts w:ascii="Times New Roman" w:hAnsi="Times New Roman"/>
                <w:b w:val="0"/>
                <w:bCs w:val="0"/>
                <w:color w:val="auto"/>
                <w:sz w:val="24"/>
                <w:szCs w:val="20"/>
                <w:lang w:val="en-CA"/>
              </w:rPr>
              <w:t>可收集泄漏物料为</w:t>
            </w:r>
            <w:r>
              <w:rPr>
                <w:rFonts w:ascii="Times New Roman" w:hAnsi="Times New Roman"/>
                <w:b w:val="0"/>
                <w:bCs w:val="0"/>
                <w:color w:val="auto"/>
                <w:sz w:val="24"/>
                <w:szCs w:val="20"/>
              </w:rPr>
              <w:t>12500mL,可满足一次性最大瓶装容量泄露量，故</w:t>
            </w:r>
            <w:r>
              <w:rPr>
                <w:rFonts w:ascii="Times New Roman" w:hAnsi="Times New Roman"/>
                <w:b w:val="0"/>
                <w:bCs w:val="0"/>
                <w:color w:val="auto"/>
                <w:sz w:val="24"/>
                <w:szCs w:val="20"/>
                <w:lang w:val="en-CA"/>
              </w:rPr>
              <w:t>一旦因包装瓶破裂发生物料泄漏，泄漏的物料可全部收集在防渗漏</w:t>
            </w:r>
            <w:r>
              <w:rPr>
                <w:rFonts w:ascii="Times New Roman" w:hAnsi="Times New Roman"/>
                <w:b w:val="0"/>
                <w:bCs w:val="0"/>
                <w:color w:val="auto"/>
                <w:sz w:val="24"/>
                <w:szCs w:val="20"/>
              </w:rPr>
              <w:t>托盘</w:t>
            </w:r>
            <w:r>
              <w:rPr>
                <w:rFonts w:ascii="Times New Roman" w:hAnsi="Times New Roman"/>
                <w:b w:val="0"/>
                <w:bCs w:val="0"/>
                <w:color w:val="auto"/>
                <w:sz w:val="24"/>
                <w:szCs w:val="20"/>
                <w:lang w:val="en-CA"/>
              </w:rPr>
              <w:t>内。</w:t>
            </w:r>
          </w:p>
          <w:p>
            <w:pPr>
              <w:spacing w:line="360" w:lineRule="auto"/>
              <w:ind w:firstLine="482" w:firstLineChars="200"/>
              <w:rPr>
                <w:b/>
                <w:bCs/>
                <w:sz w:val="24"/>
              </w:rPr>
            </w:pPr>
            <w:r>
              <w:rPr>
                <w:rFonts w:hint="eastAsia"/>
                <w:b/>
                <w:bCs/>
                <w:sz w:val="24"/>
              </w:rPr>
              <w:t>地下水风险防范措施:</w:t>
            </w:r>
          </w:p>
          <w:p>
            <w:pPr>
              <w:spacing w:line="360" w:lineRule="auto"/>
              <w:ind w:firstLine="480" w:firstLineChars="200"/>
              <w:rPr>
                <w:sz w:val="24"/>
              </w:rPr>
            </w:pPr>
            <w:r>
              <w:rPr>
                <w:sz w:val="24"/>
              </w:rPr>
              <w:t>①加强源头控制，加强管理，将污染物跑、冒、滴、漏降低到最低限度。</w:t>
            </w:r>
          </w:p>
          <w:p>
            <w:pPr>
              <w:spacing w:line="360" w:lineRule="auto"/>
              <w:ind w:firstLine="480" w:firstLineChars="200"/>
              <w:rPr>
                <w:sz w:val="24"/>
              </w:rPr>
            </w:pPr>
            <w:r>
              <w:rPr>
                <w:sz w:val="24"/>
              </w:rPr>
              <w:t>②做好分区防腐防渗措施，避免事故废水、危化品和危险物质泄漏进入地下水和土壤。</w:t>
            </w:r>
          </w:p>
          <w:p>
            <w:pPr>
              <w:spacing w:line="360" w:lineRule="auto"/>
              <w:ind w:firstLine="480" w:firstLineChars="200"/>
              <w:rPr>
                <w:sz w:val="24"/>
              </w:rPr>
            </w:pPr>
            <w:r>
              <w:rPr>
                <w:rFonts w:hint="eastAsia"/>
                <w:sz w:val="24"/>
              </w:rPr>
              <w:t>拟建项目实验室、危废暂存间、试剂库、中和池底及池壁为重点防腐防渗区，实验室、危废暂存间、试剂库地面与裙角基础必须防腐防渗，采取2mm厚高密度聚乙烯（HDPE），渗透系数≤10</w:t>
            </w:r>
            <w:r>
              <w:rPr>
                <w:rFonts w:hint="eastAsia"/>
                <w:sz w:val="24"/>
                <w:vertAlign w:val="superscript"/>
              </w:rPr>
              <w:t>-10</w:t>
            </w:r>
            <w:r>
              <w:rPr>
                <w:rFonts w:hint="eastAsia"/>
                <w:sz w:val="24"/>
              </w:rPr>
              <w:t>cm/s。中和池底及池壁涂环氧树脂防腐防渗。</w:t>
            </w:r>
          </w:p>
          <w:p>
            <w:pPr>
              <w:spacing w:line="360" w:lineRule="auto"/>
              <w:ind w:firstLine="482" w:firstLineChars="200"/>
              <w:rPr>
                <w:b/>
                <w:bCs/>
                <w:sz w:val="24"/>
              </w:rPr>
            </w:pPr>
            <w:r>
              <w:rPr>
                <w:b/>
                <w:bCs/>
                <w:sz w:val="24"/>
              </w:rPr>
              <w:t>应急预案编制要求</w:t>
            </w:r>
            <w:r>
              <w:rPr>
                <w:rFonts w:hint="eastAsia"/>
                <w:b/>
                <w:bCs/>
                <w:sz w:val="24"/>
              </w:rPr>
              <w:t>：</w:t>
            </w:r>
          </w:p>
          <w:p>
            <w:pPr>
              <w:spacing w:line="360" w:lineRule="auto"/>
              <w:ind w:firstLine="480" w:firstLineChars="200"/>
              <w:rPr>
                <w:bCs/>
                <w:sz w:val="24"/>
              </w:rPr>
            </w:pPr>
            <w:r>
              <w:rPr>
                <w:bCs/>
                <w:sz w:val="24"/>
              </w:rPr>
              <w:t>根据《建设项目危险废物环境影响评价指南》</w:t>
            </w:r>
            <w:r>
              <w:rPr>
                <w:rFonts w:hint="eastAsia"/>
                <w:bCs/>
                <w:sz w:val="24"/>
              </w:rPr>
              <w:t>学校</w:t>
            </w:r>
            <w:r>
              <w:rPr>
                <w:bCs/>
                <w:sz w:val="24"/>
              </w:rPr>
              <w:t>应编写危险废物事故应急预案，按照《建设项目风险评价技术导则》（HJ169-2018）对于本项目可能造成环境风险的突发性事故制定应急预案。突发环境事件应急预案编制要求如下：</w:t>
            </w:r>
          </w:p>
          <w:p>
            <w:pPr>
              <w:spacing w:line="360" w:lineRule="auto"/>
              <w:ind w:firstLine="480" w:firstLineChars="200"/>
              <w:rPr>
                <w:bCs/>
                <w:sz w:val="24"/>
              </w:rPr>
            </w:pPr>
            <w:r>
              <w:rPr>
                <w:bCs/>
                <w:sz w:val="24"/>
              </w:rPr>
              <w:t>①按照国家、地方和相关部门要求，提出</w:t>
            </w:r>
            <w:r>
              <w:rPr>
                <w:rFonts w:hint="eastAsia"/>
                <w:bCs/>
                <w:sz w:val="24"/>
              </w:rPr>
              <w:t>学校</w:t>
            </w:r>
            <w:r>
              <w:rPr>
                <w:bCs/>
                <w:sz w:val="24"/>
              </w:rPr>
              <w:t>突发环境事件应急预案编制或完善的原则要求，包括预案适用范围、环境事件分类与分级、组织机构与职责、监控和预警、应急响应、应急保障、善后处理、预案管理与演练等内容。</w:t>
            </w:r>
          </w:p>
          <w:p>
            <w:pPr>
              <w:spacing w:line="360" w:lineRule="auto"/>
              <w:ind w:firstLine="480" w:firstLineChars="200"/>
              <w:rPr>
                <w:bCs/>
                <w:sz w:val="24"/>
              </w:rPr>
            </w:pPr>
            <w:r>
              <w:rPr>
                <w:bCs/>
                <w:sz w:val="24"/>
              </w:rPr>
              <w:t>②明确</w:t>
            </w:r>
            <w:r>
              <w:rPr>
                <w:rFonts w:hint="eastAsia"/>
                <w:bCs/>
                <w:sz w:val="24"/>
              </w:rPr>
              <w:t>学校</w:t>
            </w:r>
            <w:r>
              <w:rPr>
                <w:bCs/>
                <w:sz w:val="24"/>
              </w:rPr>
              <w:t>、黄山市人民政府环境风险应急体系。</w:t>
            </w:r>
            <w:r>
              <w:rPr>
                <w:rFonts w:hint="eastAsia"/>
                <w:bCs/>
                <w:sz w:val="24"/>
              </w:rPr>
              <w:t>学校</w:t>
            </w:r>
            <w:r>
              <w:rPr>
                <w:bCs/>
                <w:sz w:val="24"/>
              </w:rPr>
              <w:t>突发环境事件应急预案应体现分级响应、区域联动的原则，与《黄山市突发环境事件应急预案》相衔接，并明确分级响应程序。</w:t>
            </w:r>
          </w:p>
          <w:p>
            <w:pPr>
              <w:spacing w:line="360" w:lineRule="auto"/>
              <w:ind w:firstLine="480" w:firstLineChars="200"/>
              <w:rPr>
                <w:b/>
                <w:sz w:val="24"/>
              </w:rPr>
            </w:pPr>
            <w:r>
              <w:rPr>
                <w:bCs/>
                <w:sz w:val="24"/>
              </w:rPr>
              <w:t>应急预案主要编制内容及要求详见下表。</w:t>
            </w:r>
          </w:p>
          <w:p>
            <w:pPr>
              <w:spacing w:line="320" w:lineRule="exact"/>
              <w:jc w:val="center"/>
              <w:rPr>
                <w:b/>
                <w:sz w:val="24"/>
              </w:rPr>
            </w:pPr>
            <w:r>
              <w:rPr>
                <w:b/>
                <w:sz w:val="24"/>
              </w:rPr>
              <w:t>表</w:t>
            </w:r>
            <w:r>
              <w:rPr>
                <w:rFonts w:hint="eastAsia"/>
                <w:b/>
                <w:sz w:val="24"/>
              </w:rPr>
              <w:t>4</w:t>
            </w:r>
            <w:r>
              <w:rPr>
                <w:b/>
                <w:sz w:val="24"/>
              </w:rPr>
              <w:t>-</w:t>
            </w:r>
            <w:r>
              <w:rPr>
                <w:rFonts w:hint="eastAsia"/>
                <w:b/>
                <w:sz w:val="24"/>
                <w:lang w:val="en-US" w:eastAsia="zh-CN"/>
              </w:rPr>
              <w:t>10</w:t>
            </w:r>
            <w:r>
              <w:rPr>
                <w:b/>
                <w:sz w:val="24"/>
              </w:rPr>
              <w:t xml:space="preserve">  应急预案主要编制内容及要求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208"/>
              <w:gridCol w:w="5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spacing w:line="360" w:lineRule="exact"/>
                    <w:jc w:val="center"/>
                    <w:textAlignment w:val="baseline"/>
                    <w:rPr>
                      <w:b/>
                      <w:szCs w:val="21"/>
                    </w:rPr>
                  </w:pPr>
                  <w:r>
                    <w:rPr>
                      <w:b/>
                      <w:szCs w:val="21"/>
                    </w:rPr>
                    <w:t>序号</w:t>
                  </w:r>
                </w:p>
              </w:tc>
              <w:tc>
                <w:tcPr>
                  <w:tcW w:w="1208" w:type="dxa"/>
                  <w:vAlign w:val="center"/>
                </w:tcPr>
                <w:p>
                  <w:pPr>
                    <w:adjustRightInd w:val="0"/>
                    <w:spacing w:line="360" w:lineRule="exact"/>
                    <w:jc w:val="center"/>
                    <w:textAlignment w:val="baseline"/>
                    <w:rPr>
                      <w:b/>
                      <w:szCs w:val="21"/>
                    </w:rPr>
                  </w:pPr>
                  <w:r>
                    <w:rPr>
                      <w:b/>
                      <w:szCs w:val="21"/>
                    </w:rPr>
                    <w:t>项目</w:t>
                  </w:r>
                </w:p>
              </w:tc>
              <w:tc>
                <w:tcPr>
                  <w:tcW w:w="5945" w:type="dxa"/>
                  <w:vAlign w:val="center"/>
                </w:tcPr>
                <w:p>
                  <w:pPr>
                    <w:adjustRightInd w:val="0"/>
                    <w:spacing w:line="360" w:lineRule="exact"/>
                    <w:jc w:val="center"/>
                    <w:textAlignment w:val="baseline"/>
                    <w:rPr>
                      <w:b/>
                      <w:szCs w:val="21"/>
                    </w:rPr>
                  </w:pPr>
                  <w:r>
                    <w:rPr>
                      <w:b/>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1</w:t>
                  </w:r>
                </w:p>
              </w:tc>
              <w:tc>
                <w:tcPr>
                  <w:tcW w:w="1208" w:type="dxa"/>
                  <w:vAlign w:val="center"/>
                </w:tcPr>
                <w:p>
                  <w:pPr>
                    <w:adjustRightInd w:val="0"/>
                    <w:jc w:val="center"/>
                    <w:textAlignment w:val="baseline"/>
                    <w:rPr>
                      <w:bCs/>
                      <w:szCs w:val="21"/>
                    </w:rPr>
                  </w:pPr>
                  <w:r>
                    <w:rPr>
                      <w:bCs/>
                      <w:szCs w:val="21"/>
                    </w:rPr>
                    <w:t>编制原则</w:t>
                  </w:r>
                </w:p>
              </w:tc>
              <w:tc>
                <w:tcPr>
                  <w:tcW w:w="5945" w:type="dxa"/>
                  <w:vAlign w:val="center"/>
                </w:tcPr>
                <w:p>
                  <w:pPr>
                    <w:adjustRightInd w:val="0"/>
                    <w:ind w:firstLine="420" w:firstLineChars="200"/>
                    <w:textAlignment w:val="baseline"/>
                    <w:rPr>
                      <w:bCs/>
                      <w:szCs w:val="21"/>
                    </w:rPr>
                  </w:pPr>
                  <w:r>
                    <w:rPr>
                      <w:bCs/>
                      <w:szCs w:val="21"/>
                    </w:rPr>
                    <w:t>符合国家有关规定和要求，结合本单位实际；救人第一、环境优先；先期处置、防止危害扩大；快速响应、科学应对；应急工作与岗位职责相结合等。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2</w:t>
                  </w:r>
                </w:p>
              </w:tc>
              <w:tc>
                <w:tcPr>
                  <w:tcW w:w="1208" w:type="dxa"/>
                  <w:vAlign w:val="center"/>
                </w:tcPr>
                <w:p>
                  <w:pPr>
                    <w:adjustRightInd w:val="0"/>
                    <w:jc w:val="center"/>
                    <w:textAlignment w:val="baseline"/>
                    <w:rPr>
                      <w:bCs/>
                      <w:szCs w:val="21"/>
                    </w:rPr>
                  </w:pPr>
                  <w:r>
                    <w:rPr>
                      <w:bCs/>
                      <w:szCs w:val="21"/>
                    </w:rPr>
                    <w:t>适用范围</w:t>
                  </w:r>
                </w:p>
              </w:tc>
              <w:tc>
                <w:tcPr>
                  <w:tcW w:w="5945" w:type="dxa"/>
                  <w:vAlign w:val="center"/>
                </w:tcPr>
                <w:p>
                  <w:pPr>
                    <w:adjustRightInd w:val="0"/>
                    <w:ind w:firstLine="420" w:firstLineChars="200"/>
                    <w:textAlignment w:val="baseline"/>
                    <w:rPr>
                      <w:bCs/>
                      <w:szCs w:val="21"/>
                    </w:rPr>
                  </w:pPr>
                  <w:r>
                    <w:rPr>
                      <w:bCs/>
                      <w:szCs w:val="21"/>
                    </w:rPr>
                    <w:t>明确预案适用的主体、地理或管理范围、事件类别、工作内容等。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3</w:t>
                  </w:r>
                </w:p>
              </w:tc>
              <w:tc>
                <w:tcPr>
                  <w:tcW w:w="1208" w:type="dxa"/>
                  <w:vAlign w:val="center"/>
                </w:tcPr>
                <w:p>
                  <w:pPr>
                    <w:adjustRightInd w:val="0"/>
                    <w:jc w:val="center"/>
                    <w:textAlignment w:val="baseline"/>
                    <w:rPr>
                      <w:bCs/>
                      <w:szCs w:val="21"/>
                    </w:rPr>
                  </w:pPr>
                  <w:r>
                    <w:rPr>
                      <w:bCs/>
                      <w:szCs w:val="21"/>
                    </w:rPr>
                    <w:t>环境事件分类与分级</w:t>
                  </w:r>
                </w:p>
              </w:tc>
              <w:tc>
                <w:tcPr>
                  <w:tcW w:w="5945" w:type="dxa"/>
                  <w:vAlign w:val="center"/>
                </w:tcPr>
                <w:p>
                  <w:pPr>
                    <w:adjustRightInd w:val="0"/>
                    <w:ind w:firstLine="420" w:firstLineChars="200"/>
                    <w:textAlignment w:val="baseline"/>
                    <w:rPr>
                      <w:bCs/>
                      <w:szCs w:val="21"/>
                    </w:rPr>
                  </w:pPr>
                  <w:r>
                    <w:rPr>
                      <w:bCs/>
                      <w:szCs w:val="21"/>
                    </w:rPr>
                    <w:t>根据《企业突发环境事件风险分级防范》（HJ941-2018）进行环境风险分级判定。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4</w:t>
                  </w:r>
                </w:p>
              </w:tc>
              <w:tc>
                <w:tcPr>
                  <w:tcW w:w="1208" w:type="dxa"/>
                  <w:vAlign w:val="center"/>
                </w:tcPr>
                <w:p>
                  <w:pPr>
                    <w:adjustRightInd w:val="0"/>
                    <w:jc w:val="center"/>
                    <w:textAlignment w:val="baseline"/>
                    <w:rPr>
                      <w:bCs/>
                      <w:szCs w:val="21"/>
                    </w:rPr>
                  </w:pPr>
                  <w:r>
                    <w:rPr>
                      <w:bCs/>
                      <w:szCs w:val="21"/>
                    </w:rPr>
                    <w:t>组织机构与职责</w:t>
                  </w:r>
                </w:p>
              </w:tc>
              <w:tc>
                <w:tcPr>
                  <w:tcW w:w="5945" w:type="dxa"/>
                  <w:vAlign w:val="center"/>
                </w:tcPr>
                <w:p>
                  <w:pPr>
                    <w:adjustRightInd w:val="0"/>
                    <w:ind w:firstLine="420" w:firstLineChars="200"/>
                    <w:textAlignment w:val="baseline"/>
                    <w:rPr>
                      <w:bCs/>
                      <w:szCs w:val="21"/>
                    </w:rPr>
                  </w:pPr>
                  <w:r>
                    <w:rPr>
                      <w:bCs/>
                      <w:szCs w:val="21"/>
                    </w:rPr>
                    <w:t>以应急组织体系结构图、应急响应流程图的形式，说明组织体系构成、应急指挥运行机制，配有应急队伍成员名单和联系方式表；明确组织体系的构成及其职责；明确应急状态下指挥运行机制，建立统一的应急指挥、协调和决策程序；根据突发环境事件的危害程度、影响范围、周边环境敏感点、</w:t>
                  </w:r>
                  <w:r>
                    <w:rPr>
                      <w:rFonts w:hint="eastAsia"/>
                      <w:bCs/>
                      <w:szCs w:val="21"/>
                    </w:rPr>
                    <w:t>学校</w:t>
                  </w:r>
                  <w:r>
                    <w:rPr>
                      <w:bCs/>
                      <w:szCs w:val="21"/>
                    </w:rPr>
                    <w:t>应急响应能力等，建立分级应急响应机制，明确不同应急响应级别对应的指挥权限；说明</w:t>
                  </w:r>
                  <w:r>
                    <w:rPr>
                      <w:rFonts w:hint="eastAsia"/>
                      <w:bCs/>
                      <w:szCs w:val="21"/>
                    </w:rPr>
                    <w:t>学校</w:t>
                  </w:r>
                  <w:r>
                    <w:rPr>
                      <w:bCs/>
                      <w:szCs w:val="21"/>
                    </w:rPr>
                    <w:t>与政府及其有关部门之间的关系。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5</w:t>
                  </w:r>
                </w:p>
              </w:tc>
              <w:tc>
                <w:tcPr>
                  <w:tcW w:w="1208" w:type="dxa"/>
                  <w:vAlign w:val="center"/>
                </w:tcPr>
                <w:p>
                  <w:pPr>
                    <w:adjustRightInd w:val="0"/>
                    <w:jc w:val="center"/>
                    <w:textAlignment w:val="baseline"/>
                    <w:rPr>
                      <w:bCs/>
                      <w:szCs w:val="21"/>
                    </w:rPr>
                  </w:pPr>
                  <w:r>
                    <w:rPr>
                      <w:bCs/>
                      <w:szCs w:val="21"/>
                    </w:rPr>
                    <w:t>监控和预警</w:t>
                  </w:r>
                </w:p>
              </w:tc>
              <w:tc>
                <w:tcPr>
                  <w:tcW w:w="5945" w:type="dxa"/>
                  <w:vAlign w:val="center"/>
                </w:tcPr>
                <w:p>
                  <w:pPr>
                    <w:adjustRightInd w:val="0"/>
                    <w:ind w:firstLine="420" w:firstLineChars="200"/>
                    <w:textAlignment w:val="baseline"/>
                    <w:rPr>
                      <w:bCs/>
                      <w:szCs w:val="21"/>
                    </w:rPr>
                  </w:pPr>
                  <w:r>
                    <w:rPr>
                      <w:bCs/>
                      <w:szCs w:val="21"/>
                    </w:rPr>
                    <w:t>建立</w:t>
                  </w:r>
                  <w:r>
                    <w:rPr>
                      <w:rFonts w:hint="eastAsia"/>
                      <w:bCs/>
                      <w:szCs w:val="21"/>
                    </w:rPr>
                    <w:t>学校</w:t>
                  </w:r>
                  <w:r>
                    <w:rPr>
                      <w:bCs/>
                      <w:szCs w:val="21"/>
                    </w:rPr>
                    <w:t>内部监控预警方案；明确监控信息的获得途径和分析研判的方式方法；明确</w:t>
                  </w:r>
                  <w:r>
                    <w:rPr>
                      <w:rFonts w:hint="eastAsia"/>
                      <w:bCs/>
                      <w:szCs w:val="21"/>
                    </w:rPr>
                    <w:t>学校</w:t>
                  </w:r>
                  <w:r>
                    <w:rPr>
                      <w:bCs/>
                      <w:szCs w:val="21"/>
                    </w:rPr>
                    <w:t>内部预警条件，预警等级，预警信息发布、接收、调整、解除程序、发布内容、责任人。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6</w:t>
                  </w:r>
                </w:p>
              </w:tc>
              <w:tc>
                <w:tcPr>
                  <w:tcW w:w="1208" w:type="dxa"/>
                  <w:vAlign w:val="center"/>
                </w:tcPr>
                <w:p>
                  <w:pPr>
                    <w:adjustRightInd w:val="0"/>
                    <w:jc w:val="center"/>
                    <w:textAlignment w:val="baseline"/>
                    <w:rPr>
                      <w:bCs/>
                      <w:szCs w:val="21"/>
                    </w:rPr>
                  </w:pPr>
                  <w:r>
                    <w:rPr>
                      <w:bCs/>
                      <w:szCs w:val="21"/>
                    </w:rPr>
                    <w:t>应急响应</w:t>
                  </w:r>
                </w:p>
              </w:tc>
              <w:tc>
                <w:tcPr>
                  <w:tcW w:w="5945" w:type="dxa"/>
                  <w:vAlign w:val="center"/>
                </w:tcPr>
                <w:p>
                  <w:pPr>
                    <w:adjustRightInd w:val="0"/>
                    <w:ind w:firstLine="420" w:firstLineChars="200"/>
                    <w:textAlignment w:val="baseline"/>
                    <w:rPr>
                      <w:bCs/>
                      <w:szCs w:val="21"/>
                    </w:rPr>
                  </w:pPr>
                  <w:r>
                    <w:rPr>
                      <w:bCs/>
                      <w:szCs w:val="21"/>
                    </w:rPr>
                    <w:t>根据</w:t>
                  </w:r>
                  <w:r>
                    <w:rPr>
                      <w:rFonts w:hint="eastAsia"/>
                      <w:bCs/>
                      <w:szCs w:val="21"/>
                    </w:rPr>
                    <w:t>学校</w:t>
                  </w:r>
                  <w:r>
                    <w:rPr>
                      <w:bCs/>
                      <w:szCs w:val="21"/>
                    </w:rPr>
                    <w:t>突发环境事件分类与分级结果，制定相应应急响应程序。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7</w:t>
                  </w:r>
                </w:p>
              </w:tc>
              <w:tc>
                <w:tcPr>
                  <w:tcW w:w="1208" w:type="dxa"/>
                  <w:vAlign w:val="center"/>
                </w:tcPr>
                <w:p>
                  <w:pPr>
                    <w:adjustRightInd w:val="0"/>
                    <w:jc w:val="center"/>
                    <w:textAlignment w:val="baseline"/>
                    <w:rPr>
                      <w:bCs/>
                      <w:szCs w:val="21"/>
                    </w:rPr>
                  </w:pPr>
                  <w:r>
                    <w:rPr>
                      <w:bCs/>
                      <w:szCs w:val="21"/>
                    </w:rPr>
                    <w:t>应急保障</w:t>
                  </w:r>
                </w:p>
              </w:tc>
              <w:tc>
                <w:tcPr>
                  <w:tcW w:w="5945" w:type="dxa"/>
                  <w:vAlign w:val="center"/>
                </w:tcPr>
                <w:p>
                  <w:pPr>
                    <w:adjustRightInd w:val="0"/>
                    <w:ind w:firstLine="420" w:firstLineChars="200"/>
                    <w:textAlignment w:val="baseline"/>
                    <w:rPr>
                      <w:bCs/>
                      <w:szCs w:val="21"/>
                    </w:rPr>
                  </w:pPr>
                  <w:r>
                    <w:rPr>
                      <w:bCs/>
                      <w:szCs w:val="21"/>
                    </w:rPr>
                    <w:t>说明环境应急预案涉及的人力资源、财力、物资以及其他技术、重要设施的保障。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8</w:t>
                  </w:r>
                </w:p>
              </w:tc>
              <w:tc>
                <w:tcPr>
                  <w:tcW w:w="1208" w:type="dxa"/>
                  <w:vAlign w:val="center"/>
                </w:tcPr>
                <w:p>
                  <w:pPr>
                    <w:adjustRightInd w:val="0"/>
                    <w:jc w:val="center"/>
                    <w:textAlignment w:val="baseline"/>
                    <w:rPr>
                      <w:bCs/>
                      <w:szCs w:val="21"/>
                    </w:rPr>
                  </w:pPr>
                  <w:r>
                    <w:rPr>
                      <w:bCs/>
                      <w:szCs w:val="21"/>
                    </w:rPr>
                    <w:t>善后处理</w:t>
                  </w:r>
                </w:p>
              </w:tc>
              <w:tc>
                <w:tcPr>
                  <w:tcW w:w="5945" w:type="dxa"/>
                  <w:vAlign w:val="center"/>
                </w:tcPr>
                <w:p>
                  <w:pPr>
                    <w:adjustRightInd w:val="0"/>
                    <w:ind w:firstLine="420" w:firstLineChars="200"/>
                    <w:textAlignment w:val="baseline"/>
                    <w:rPr>
                      <w:bCs/>
                      <w:szCs w:val="21"/>
                    </w:rPr>
                  </w:pPr>
                  <w:r>
                    <w:rPr>
                      <w:bCs/>
                      <w:szCs w:val="21"/>
                    </w:rPr>
                    <w:t>结合本单位实际，说明应急终止的条件和发布程序；说明事后恢复的工作内容和责任人，一般包括：现场污染物的后续处理；环境应急相关设施、设备、场所的维护；配合开展环境损害评估、赔偿、事件调查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adjustRightInd w:val="0"/>
                    <w:jc w:val="center"/>
                    <w:textAlignment w:val="baseline"/>
                    <w:rPr>
                      <w:bCs/>
                      <w:szCs w:val="21"/>
                    </w:rPr>
                  </w:pPr>
                  <w:r>
                    <w:rPr>
                      <w:bCs/>
                      <w:szCs w:val="21"/>
                    </w:rPr>
                    <w:t>9</w:t>
                  </w:r>
                </w:p>
              </w:tc>
              <w:tc>
                <w:tcPr>
                  <w:tcW w:w="1208" w:type="dxa"/>
                  <w:vAlign w:val="center"/>
                </w:tcPr>
                <w:p>
                  <w:pPr>
                    <w:adjustRightInd w:val="0"/>
                    <w:jc w:val="center"/>
                    <w:textAlignment w:val="baseline"/>
                    <w:rPr>
                      <w:bCs/>
                      <w:szCs w:val="21"/>
                    </w:rPr>
                  </w:pPr>
                  <w:r>
                    <w:rPr>
                      <w:bCs/>
                      <w:szCs w:val="21"/>
                    </w:rPr>
                    <w:t>预案管理与演练</w:t>
                  </w:r>
                </w:p>
              </w:tc>
              <w:tc>
                <w:tcPr>
                  <w:tcW w:w="5945" w:type="dxa"/>
                  <w:vAlign w:val="center"/>
                </w:tcPr>
                <w:p>
                  <w:pPr>
                    <w:adjustRightInd w:val="0"/>
                    <w:ind w:firstLine="420" w:firstLineChars="200"/>
                    <w:textAlignment w:val="baseline"/>
                    <w:rPr>
                      <w:bCs/>
                      <w:szCs w:val="21"/>
                    </w:rPr>
                  </w:pPr>
                  <w:r>
                    <w:rPr>
                      <w:bCs/>
                      <w:szCs w:val="21"/>
                    </w:rPr>
                    <w:t>明确环境应急预案的评估修订要求；安排有关环境应急预案的培训和演练。</w:t>
                  </w:r>
                </w:p>
              </w:tc>
            </w:tr>
          </w:tbl>
          <w:p>
            <w:pPr>
              <w:spacing w:beforeLines="100" w:line="360" w:lineRule="auto"/>
              <w:ind w:firstLine="480" w:firstLineChars="200"/>
              <w:rPr>
                <w:kern w:val="0"/>
                <w:sz w:val="24"/>
              </w:rPr>
            </w:pPr>
            <w:r>
              <w:rPr>
                <w:rFonts w:hint="eastAsia"/>
                <w:sz w:val="24"/>
              </w:rPr>
              <w:t>加强工作人员安全教育，树立安全意识，加强管理，</w:t>
            </w:r>
            <w:r>
              <w:rPr>
                <w:kern w:val="0"/>
                <w:sz w:val="24"/>
              </w:rPr>
              <w:t>配备应急设施和应急物资，并定期进行演练。</w:t>
            </w:r>
          </w:p>
          <w:p>
            <w:pPr>
              <w:spacing w:line="360" w:lineRule="auto"/>
              <w:ind w:firstLine="480" w:firstLineChars="200"/>
              <w:rPr>
                <w:sz w:val="24"/>
              </w:rPr>
            </w:pPr>
            <w:r>
              <w:rPr>
                <w:rFonts w:hint="eastAsia"/>
                <w:sz w:val="24"/>
              </w:rPr>
              <w:t>（3）结论</w:t>
            </w:r>
          </w:p>
          <w:p>
            <w:pPr>
              <w:spacing w:line="360" w:lineRule="auto"/>
              <w:ind w:firstLine="480" w:firstLineChars="200"/>
              <w:rPr>
                <w:sz w:val="24"/>
              </w:rPr>
            </w:pPr>
            <w:r>
              <w:rPr>
                <w:sz w:val="24"/>
              </w:rPr>
              <w:t>本项目具有潜在的危险物质泄漏、火灾</w:t>
            </w:r>
            <w:r>
              <w:rPr>
                <w:rFonts w:hint="eastAsia"/>
                <w:sz w:val="24"/>
              </w:rPr>
              <w:t>、爆炸</w:t>
            </w:r>
            <w:r>
              <w:rPr>
                <w:sz w:val="24"/>
              </w:rPr>
              <w:t>事故风险，</w:t>
            </w:r>
            <w:r>
              <w:rPr>
                <w:rFonts w:hint="eastAsia"/>
                <w:sz w:val="24"/>
              </w:rPr>
              <w:t>学校</w:t>
            </w:r>
            <w:r>
              <w:rPr>
                <w:sz w:val="24"/>
              </w:rPr>
              <w:t>应该认真做好各项风险防范措施，完善生产管理制度，严格按规范操作，杜绝风险事故，加强对全体员工防范事故风险能力的培训，建立应急计划和事故应急预案。</w:t>
            </w:r>
          </w:p>
          <w:p>
            <w:pPr>
              <w:spacing w:line="360" w:lineRule="auto"/>
              <w:ind w:firstLine="480" w:firstLineChars="200"/>
              <w:rPr>
                <w:sz w:val="24"/>
              </w:rPr>
            </w:pPr>
            <w:r>
              <w:rPr>
                <w:sz w:val="24"/>
              </w:rPr>
              <w:t>在加强监控、建立前述风险防范措施，并制定切实可行的应急预案的情况下，本项目的环境风险是可以接受的。</w:t>
            </w:r>
          </w:p>
          <w:p>
            <w:pPr>
              <w:spacing w:line="360" w:lineRule="auto"/>
              <w:rPr>
                <w:sz w:val="24"/>
              </w:rPr>
            </w:pPr>
            <w:r>
              <w:rPr>
                <w:rFonts w:hint="eastAsia"/>
                <w:sz w:val="24"/>
              </w:rPr>
              <w:t>7</w:t>
            </w:r>
            <w:r>
              <w:rPr>
                <w:sz w:val="24"/>
              </w:rPr>
              <w:t>、</w:t>
            </w:r>
            <w:r>
              <w:rPr>
                <w:rFonts w:hint="eastAsia"/>
                <w:sz w:val="24"/>
              </w:rPr>
              <w:t>外环境对项目的影响</w:t>
            </w:r>
          </w:p>
          <w:p>
            <w:pPr>
              <w:widowControl/>
              <w:spacing w:line="360" w:lineRule="auto"/>
              <w:ind w:firstLine="480" w:firstLineChars="200"/>
              <w:rPr>
                <w:sz w:val="24"/>
              </w:rPr>
            </w:pPr>
            <w:r>
              <w:rPr>
                <w:rFonts w:hint="eastAsia"/>
                <w:sz w:val="24"/>
              </w:rPr>
              <w:t>一、噪声影响</w:t>
            </w:r>
          </w:p>
          <w:p>
            <w:pPr>
              <w:widowControl/>
              <w:spacing w:line="360" w:lineRule="auto"/>
              <w:ind w:firstLine="480" w:firstLineChars="200"/>
              <w:rPr>
                <w:sz w:val="24"/>
              </w:rPr>
            </w:pPr>
            <w:r>
              <w:rPr>
                <w:sz w:val="24"/>
              </w:rPr>
              <w:t>拟建项目建设地块位于安徽省黄山市屯</w:t>
            </w:r>
            <w:r>
              <w:rPr>
                <w:rFonts w:hint="eastAsia"/>
                <w:sz w:val="24"/>
              </w:rPr>
              <w:t>高新区蕉充安置小区一期</w:t>
            </w:r>
            <w:r>
              <w:rPr>
                <w:sz w:val="24"/>
              </w:rPr>
              <w:t>北侧</w:t>
            </w:r>
            <w:r>
              <w:rPr>
                <w:rFonts w:hint="eastAsia"/>
                <w:sz w:val="24"/>
              </w:rPr>
              <w:t>，</w:t>
            </w:r>
            <w:r>
              <w:rPr>
                <w:sz w:val="24"/>
              </w:rPr>
              <w:t>随着项目所在地的开发建设，区域交通量将会显著增加，如果不采取一定的交通噪声防治措施，周边道路上的交通噪声在昼间和夜间均会对拟建项目产生一定的影响。</w:t>
            </w:r>
          </w:p>
          <w:p>
            <w:pPr>
              <w:widowControl/>
              <w:spacing w:line="360" w:lineRule="auto"/>
              <w:ind w:firstLine="480" w:firstLineChars="200"/>
              <w:rPr>
                <w:sz w:val="24"/>
              </w:rPr>
            </w:pPr>
            <w:r>
              <w:rPr>
                <w:sz w:val="24"/>
              </w:rPr>
              <w:t>为进一步降低道路交通噪声对拟建项目的影响，本评价要求项目建设时必须采取有效的治理措施如下：</w:t>
            </w:r>
          </w:p>
          <w:p>
            <w:pPr>
              <w:widowControl/>
              <w:spacing w:line="360" w:lineRule="auto"/>
              <w:ind w:firstLine="480" w:firstLineChars="200"/>
              <w:rPr>
                <w:sz w:val="24"/>
              </w:rPr>
            </w:pPr>
            <w:r>
              <w:rPr>
                <w:sz w:val="24"/>
              </w:rPr>
              <w:t>①</w:t>
            </w:r>
            <w:r>
              <w:rPr>
                <w:rFonts w:hint="eastAsia"/>
                <w:sz w:val="24"/>
              </w:rPr>
              <w:t>学校</w:t>
            </w:r>
            <w:r>
              <w:rPr>
                <w:sz w:val="24"/>
              </w:rPr>
              <w:t>厂界四周采取实体围墙隔离，可减少15~20dB（A）的噪声。</w:t>
            </w:r>
          </w:p>
          <w:p>
            <w:pPr>
              <w:widowControl/>
              <w:spacing w:line="360" w:lineRule="auto"/>
              <w:ind w:firstLine="480" w:firstLineChars="200"/>
              <w:rPr>
                <w:sz w:val="24"/>
              </w:rPr>
            </w:pPr>
            <w:r>
              <w:rPr>
                <w:sz w:val="24"/>
              </w:rPr>
              <w:t>②临道路一侧采取隔离绿化带，既能隔声，又能防尘、美化环境。在设计绿色屏障时，宜选择叶片大、具有坚硬结构的树种，常选用常绿灌木、乔木作为主要培植方式，保证四季均能起到降噪效果，当绿化带宽达10m时，可减少5dB(A)的噪声。</w:t>
            </w:r>
          </w:p>
          <w:p>
            <w:pPr>
              <w:widowControl/>
              <w:spacing w:line="360" w:lineRule="auto"/>
              <w:ind w:firstLine="480" w:firstLineChars="200"/>
              <w:rPr>
                <w:sz w:val="24"/>
              </w:rPr>
            </w:pPr>
            <w:r>
              <w:rPr>
                <w:sz w:val="24"/>
              </w:rPr>
              <w:t>③设置醒目的禁鸣喇叭、限制车速等标志。</w:t>
            </w:r>
          </w:p>
          <w:p>
            <w:pPr>
              <w:widowControl/>
              <w:spacing w:line="360" w:lineRule="auto"/>
              <w:ind w:firstLine="480" w:firstLineChars="200"/>
              <w:rPr>
                <w:rFonts w:hAnsi="宋体"/>
                <w:sz w:val="24"/>
              </w:rPr>
            </w:pPr>
            <w:r>
              <w:rPr>
                <w:sz w:val="24"/>
              </w:rPr>
              <w:t>经采取隔声措施后，项目临路一侧昼间能达到《声环境质量标准》（GB3096-2008）2类标准，交通噪声对拟建项目影响不大。</w:t>
            </w:r>
            <w:r>
              <w:rPr>
                <w:rFonts w:hint="eastAsia"/>
                <w:sz w:val="24"/>
              </w:rPr>
              <w:t>项目噪声预测结果显示自身及周边敏感点噪声满足</w:t>
            </w:r>
            <w:r>
              <w:rPr>
                <w:rFonts w:hAnsi="宋体"/>
                <w:sz w:val="24"/>
              </w:rPr>
              <w:t>《声环境质量标准》（</w:t>
            </w:r>
            <w:r>
              <w:rPr>
                <w:sz w:val="24"/>
              </w:rPr>
              <w:t>GB3096-2008</w:t>
            </w:r>
            <w:r>
              <w:rPr>
                <w:rFonts w:hAnsi="宋体"/>
                <w:sz w:val="24"/>
              </w:rPr>
              <w:t>）</w:t>
            </w:r>
            <w:r>
              <w:rPr>
                <w:rFonts w:hint="eastAsia"/>
                <w:sz w:val="24"/>
              </w:rPr>
              <w:t>2</w:t>
            </w:r>
            <w:r>
              <w:rPr>
                <w:rFonts w:hAnsi="宋体"/>
                <w:sz w:val="24"/>
              </w:rPr>
              <w:t>类标准</w:t>
            </w:r>
            <w:r>
              <w:rPr>
                <w:rFonts w:hint="eastAsia" w:hAnsi="宋体"/>
                <w:sz w:val="24"/>
              </w:rPr>
              <w:t>。</w:t>
            </w:r>
          </w:p>
          <w:p>
            <w:pPr>
              <w:widowControl/>
              <w:spacing w:line="360" w:lineRule="auto"/>
              <w:ind w:firstLine="480" w:firstLineChars="200"/>
              <w:rPr>
                <w:sz w:val="24"/>
              </w:rPr>
            </w:pPr>
            <w:r>
              <w:rPr>
                <w:rFonts w:hint="eastAsia"/>
                <w:sz w:val="24"/>
              </w:rPr>
              <w:t>二、大气影响</w:t>
            </w:r>
          </w:p>
          <w:p>
            <w:pPr>
              <w:spacing w:line="360" w:lineRule="auto"/>
              <w:ind w:firstLine="482" w:firstLineChars="200"/>
              <w:rPr>
                <w:color w:val="FF0000"/>
                <w:sz w:val="24"/>
              </w:rPr>
            </w:pPr>
            <w:r>
              <w:rPr>
                <w:b/>
                <w:bCs/>
                <w:sz w:val="24"/>
              </w:rPr>
              <w:pict>
                <v:shape id="图片 82" o:spid="_x0000_s1096" o:spt="75" type="#_x0000_t75" style="position:absolute;left:0pt;margin-left:-8.3pt;margin-top:24.95pt;height:467.4pt;width:434.8pt;mso-wrap-distance-bottom:0pt;mso-wrap-distance-left:9pt;mso-wrap-distance-right:9pt;mso-wrap-distance-top:0pt;z-index:251659264;mso-width-relative:page;mso-height-relative:page;" filled="f" o:preferrelative="t" stroked="f" coordsize="21600,21600">
                  <v:path/>
                  <v:fill on="f" focussize="0,0"/>
                  <v:stroke on="f"/>
                  <v:imagedata r:id="rId26" o:title=""/>
                  <o:lock v:ext="edit" aspectratio="t"/>
                  <w10:wrap type="square"/>
                </v:shape>
              </w:pict>
            </w:r>
            <w:r>
              <w:rPr>
                <w:rFonts w:hint="eastAsia"/>
                <w:sz w:val="24"/>
              </w:rPr>
              <w:t>本项目边界500m范围内企业分布情况如下图：</w:t>
            </w:r>
          </w:p>
          <w:p>
            <w:pPr>
              <w:pStyle w:val="2"/>
              <w:ind w:firstLine="482"/>
              <w:jc w:val="center"/>
              <w:rPr>
                <w:b/>
                <w:bCs/>
                <w:szCs w:val="24"/>
                <w:lang w:val="en-US" w:eastAsia="zh-CN"/>
              </w:rPr>
            </w:pPr>
            <w:r>
              <w:rPr>
                <w:rFonts w:hint="eastAsia"/>
                <w:b/>
                <w:bCs/>
                <w:szCs w:val="24"/>
                <w:lang w:val="en-US" w:eastAsia="zh-CN"/>
              </w:rPr>
              <w:t xml:space="preserve">图4-1  </w:t>
            </w:r>
            <w:r>
              <w:rPr>
                <w:rFonts w:hint="eastAsia"/>
                <w:lang w:val="en-US" w:eastAsia="zh-CN"/>
              </w:rPr>
              <w:t>本项目边界500m范围内企业分布情况图</w:t>
            </w:r>
          </w:p>
          <w:p>
            <w:pPr>
              <w:spacing w:line="360" w:lineRule="auto"/>
              <w:ind w:firstLine="480" w:firstLineChars="200"/>
              <w:rPr>
                <w:sz w:val="24"/>
              </w:rPr>
            </w:pPr>
            <w:r>
              <w:rPr>
                <w:rFonts w:hint="eastAsia"/>
                <w:sz w:val="24"/>
              </w:rPr>
              <w:t>距本项目边界500m内企业防护距离情况如下表:</w:t>
            </w:r>
          </w:p>
          <w:p>
            <w:pPr>
              <w:pStyle w:val="2"/>
              <w:spacing w:line="240" w:lineRule="auto"/>
              <w:ind w:firstLine="482"/>
              <w:jc w:val="center"/>
              <w:rPr>
                <w:b/>
                <w:bCs/>
                <w:lang w:val="en-US" w:eastAsia="zh-CN"/>
              </w:rPr>
            </w:pPr>
            <w:r>
              <w:rPr>
                <w:rFonts w:hint="eastAsia"/>
                <w:b/>
                <w:bCs/>
                <w:lang w:val="en-US" w:eastAsia="zh-CN"/>
              </w:rPr>
              <w:t>表4-11  距校园边界500m范围的企业防护距离情况  单位：m</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7"/>
              <w:gridCol w:w="1780"/>
              <w:gridCol w:w="1687"/>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b/>
                      <w:bCs/>
                      <w:szCs w:val="21"/>
                    </w:rPr>
                  </w:pPr>
                  <w:r>
                    <w:rPr>
                      <w:rFonts w:hint="eastAsia"/>
                      <w:b/>
                      <w:bCs/>
                      <w:szCs w:val="21"/>
                    </w:rPr>
                    <w:t>企业名称</w:t>
                  </w:r>
                </w:p>
              </w:tc>
              <w:tc>
                <w:tcPr>
                  <w:tcW w:w="1072" w:type="pct"/>
                  <w:vAlign w:val="center"/>
                </w:tcPr>
                <w:p>
                  <w:pPr>
                    <w:jc w:val="center"/>
                    <w:rPr>
                      <w:b/>
                      <w:bCs/>
                      <w:szCs w:val="21"/>
                    </w:rPr>
                  </w:pPr>
                  <w:r>
                    <w:rPr>
                      <w:rFonts w:hint="eastAsia"/>
                      <w:b/>
                      <w:bCs/>
                      <w:szCs w:val="21"/>
                    </w:rPr>
                    <w:t>大气防护距离</w:t>
                  </w:r>
                </w:p>
              </w:tc>
              <w:tc>
                <w:tcPr>
                  <w:tcW w:w="1016" w:type="pct"/>
                  <w:vAlign w:val="center"/>
                </w:tcPr>
                <w:p>
                  <w:pPr>
                    <w:jc w:val="center"/>
                    <w:rPr>
                      <w:b/>
                      <w:bCs/>
                      <w:szCs w:val="21"/>
                    </w:rPr>
                  </w:pPr>
                  <w:r>
                    <w:rPr>
                      <w:rFonts w:hint="eastAsia"/>
                      <w:b/>
                      <w:bCs/>
                      <w:szCs w:val="21"/>
                    </w:rPr>
                    <w:t>卫生防护距离</w:t>
                  </w:r>
                </w:p>
              </w:tc>
              <w:tc>
                <w:tcPr>
                  <w:tcW w:w="1032" w:type="pct"/>
                  <w:vAlign w:val="center"/>
                </w:tcPr>
                <w:p>
                  <w:pPr>
                    <w:jc w:val="center"/>
                    <w:rPr>
                      <w:b/>
                      <w:bCs/>
                      <w:szCs w:val="21"/>
                    </w:rPr>
                  </w:pPr>
                  <w:r>
                    <w:rPr>
                      <w:rFonts w:hint="eastAsia"/>
                      <w:b/>
                      <w:bCs/>
                      <w:szCs w:val="21"/>
                    </w:rPr>
                    <w:t>厂界距校园</w:t>
                  </w:r>
                </w:p>
                <w:p>
                  <w:pPr>
                    <w:jc w:val="center"/>
                    <w:rPr>
                      <w:b/>
                      <w:bCs/>
                      <w:szCs w:val="21"/>
                    </w:rPr>
                  </w:pPr>
                  <w:r>
                    <w:rPr>
                      <w:rFonts w:hint="eastAsia"/>
                      <w:b/>
                      <w:bCs/>
                      <w:szCs w:val="21"/>
                    </w:rPr>
                    <w:t>边界距离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黄山源鹏电子有限公司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黄山世达家用纺织品有限公司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安徽省萃华科技股份有限公司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50</w:t>
                  </w:r>
                </w:p>
              </w:tc>
              <w:tc>
                <w:tcPr>
                  <w:tcW w:w="1032" w:type="pct"/>
                  <w:vAlign w:val="center"/>
                </w:tcPr>
                <w:p>
                  <w:pPr>
                    <w:jc w:val="center"/>
                    <w:rPr>
                      <w:szCs w:val="21"/>
                    </w:rPr>
                  </w:pPr>
                  <w:r>
                    <w:rPr>
                      <w:rFonts w:hint="eastAsia"/>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黄山豪派木制品有限公司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黄山日报</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50</w:t>
                  </w:r>
                </w:p>
              </w:tc>
              <w:tc>
                <w:tcPr>
                  <w:tcW w:w="1032" w:type="pct"/>
                  <w:vAlign w:val="center"/>
                </w:tcPr>
                <w:p>
                  <w:pPr>
                    <w:jc w:val="center"/>
                    <w:rPr>
                      <w:szCs w:val="21"/>
                    </w:rPr>
                  </w:pPr>
                  <w:r>
                    <w:rPr>
                      <w:rFonts w:hint="eastAsia"/>
                      <w:szCs w:val="21"/>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黄山翰林堂文化发展有限公司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黄山格拉斯机械有限公司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黄山美森新材料科技有限公司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赛富特电气有限公司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黄山市徽珍食品有限公司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科能散热器有限公司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黄山市金昱茗食品有限公司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50</w:t>
                  </w:r>
                </w:p>
              </w:tc>
              <w:tc>
                <w:tcPr>
                  <w:tcW w:w="1032" w:type="pct"/>
                  <w:vAlign w:val="center"/>
                </w:tcPr>
                <w:p>
                  <w:pPr>
                    <w:jc w:val="center"/>
                    <w:rPr>
                      <w:szCs w:val="21"/>
                    </w:rPr>
                  </w:pPr>
                  <w:r>
                    <w:rPr>
                      <w:rFonts w:hint="eastAsia"/>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jc w:val="center"/>
                    <w:rPr>
                      <w:szCs w:val="21"/>
                    </w:rPr>
                  </w:pPr>
                  <w:r>
                    <w:rPr>
                      <w:rFonts w:hint="eastAsia"/>
                      <w:szCs w:val="21"/>
                    </w:rPr>
                    <w:t>黄山鼎鸿汽配有限公司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50</w:t>
                  </w:r>
                </w:p>
              </w:tc>
              <w:tc>
                <w:tcPr>
                  <w:tcW w:w="1032" w:type="pct"/>
                  <w:vAlign w:val="center"/>
                </w:tcPr>
                <w:p>
                  <w:pPr>
                    <w:jc w:val="center"/>
                    <w:rPr>
                      <w:szCs w:val="21"/>
                    </w:rPr>
                  </w:pPr>
                  <w:r>
                    <w:rPr>
                      <w:rFonts w:hint="eastAsia"/>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Align w:val="center"/>
                </w:tcPr>
                <w:p>
                  <w:pPr>
                    <w:rPr>
                      <w:szCs w:val="21"/>
                    </w:rPr>
                  </w:pPr>
                  <w:r>
                    <w:rPr>
                      <w:rFonts w:hint="eastAsia"/>
                      <w:szCs w:val="21"/>
                    </w:rPr>
                    <w:t>黄山瑞盛新材料科技有限公司</w:t>
                  </w:r>
                </w:p>
              </w:tc>
              <w:tc>
                <w:tcPr>
                  <w:tcW w:w="1072" w:type="pct"/>
                  <w:vAlign w:val="center"/>
                </w:tcPr>
                <w:p>
                  <w:pPr>
                    <w:jc w:val="center"/>
                    <w:rPr>
                      <w:szCs w:val="21"/>
                    </w:rPr>
                  </w:pPr>
                  <w:r>
                    <w:rPr>
                      <w:rFonts w:hint="eastAsia"/>
                      <w:szCs w:val="21"/>
                    </w:rPr>
                    <w:t>/</w:t>
                  </w:r>
                </w:p>
              </w:tc>
              <w:tc>
                <w:tcPr>
                  <w:tcW w:w="1016" w:type="pct"/>
                  <w:vAlign w:val="center"/>
                </w:tcPr>
                <w:p>
                  <w:pPr>
                    <w:jc w:val="center"/>
                    <w:rPr>
                      <w:szCs w:val="21"/>
                    </w:rPr>
                  </w:pPr>
                  <w:r>
                    <w:rPr>
                      <w:rFonts w:hint="eastAsia"/>
                      <w:szCs w:val="21"/>
                    </w:rPr>
                    <w:t>/</w:t>
                  </w:r>
                </w:p>
              </w:tc>
              <w:tc>
                <w:tcPr>
                  <w:tcW w:w="1032" w:type="pct"/>
                  <w:vAlign w:val="center"/>
                </w:tcPr>
                <w:p>
                  <w:pPr>
                    <w:jc w:val="center"/>
                    <w:rPr>
                      <w:szCs w:val="21"/>
                    </w:rPr>
                  </w:pPr>
                  <w:r>
                    <w:rPr>
                      <w:rFonts w:hint="eastAsia"/>
                      <w:szCs w:val="21"/>
                    </w:rPr>
                    <w:t>468</w:t>
                  </w:r>
                </w:p>
              </w:tc>
            </w:tr>
          </w:tbl>
          <w:p>
            <w:pPr>
              <w:spacing w:line="360" w:lineRule="auto"/>
              <w:ind w:firstLine="480" w:firstLineChars="200"/>
              <w:rPr>
                <w:sz w:val="24"/>
              </w:rPr>
            </w:pPr>
            <w:r>
              <w:rPr>
                <w:rFonts w:hint="eastAsia"/>
                <w:sz w:val="24"/>
              </w:rPr>
              <w:t>由上表可知本项目不在上述企业的大气防护距离和卫生防护距离内。</w:t>
            </w:r>
          </w:p>
          <w:p>
            <w:pPr>
              <w:widowControl/>
              <w:spacing w:line="360" w:lineRule="auto"/>
              <w:ind w:firstLine="480" w:firstLineChars="200"/>
              <w:rPr>
                <w:rStyle w:val="30"/>
              </w:rPr>
            </w:pPr>
            <w:r>
              <w:rPr>
                <w:rFonts w:hint="eastAsia"/>
                <w:sz w:val="24"/>
              </w:rPr>
              <w:t>故本项目不处于项目边界500m范围周边企业的大气防护距离和卫生防护距离内，受到周边企业的大气影响较小。</w:t>
            </w:r>
          </w:p>
        </w:tc>
      </w:tr>
    </w:tbl>
    <w:p>
      <w:pPr>
        <w:spacing w:line="480" w:lineRule="exact"/>
        <w:jc w:val="center"/>
        <w:outlineLvl w:val="0"/>
        <w:rPr>
          <w:rFonts w:ascii="黑体" w:hAnsi="黑体" w:eastAsia="黑体"/>
          <w:snapToGrid w:val="0"/>
          <w:sz w:val="30"/>
          <w:szCs w:val="30"/>
        </w:rPr>
      </w:pPr>
      <w:r>
        <w:rPr>
          <w:rStyle w:val="30"/>
          <w:rFonts w:hint="eastAsia"/>
        </w:rPr>
        <w:br w:type="page"/>
      </w:r>
      <w:bookmarkStart w:id="14" w:name="_Toc7227"/>
      <w:r>
        <w:rPr>
          <w:rStyle w:val="30"/>
          <w:rFonts w:hint="eastAsia"/>
        </w:rPr>
        <w:t>五、</w:t>
      </w:r>
      <w:bookmarkStart w:id="15" w:name="_Hlk54167917"/>
      <w:r>
        <w:rPr>
          <w:rStyle w:val="30"/>
          <w:rFonts w:hint="eastAsia"/>
        </w:rPr>
        <w:t>环境保护措施监督检查清单</w:t>
      </w:r>
      <w:bookmarkEnd w:id="14"/>
      <w:bookmarkEnd w:id="15"/>
    </w:p>
    <w:tbl>
      <w:tblPr>
        <w:tblStyle w:val="2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602"/>
        <w:gridCol w:w="1560"/>
        <w:gridCol w:w="1842"/>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ascii="宋体" w:hAnsi="宋体" w:cs="宋体"/>
                <w:b/>
                <w:bCs/>
                <w:szCs w:val="21"/>
              </w:rPr>
            </w:pPr>
            <w:r>
              <w:rPr>
                <w:rFonts w:hint="eastAsia" w:ascii="宋体" w:hAnsi="宋体" w:cs="宋体"/>
                <w:b/>
                <w:bCs/>
                <w:szCs w:val="21"/>
              </w:rPr>
              <w:t>内容</w:t>
            </w:r>
          </w:p>
          <w:p>
            <w:pPr>
              <w:adjustRightInd w:val="0"/>
              <w:snapToGrid w:val="0"/>
              <w:rPr>
                <w:rFonts w:ascii="宋体" w:hAnsi="宋体" w:cs="宋体"/>
                <w:b/>
                <w:bCs/>
                <w:szCs w:val="21"/>
              </w:rPr>
            </w:pPr>
            <w:r>
              <w:rPr>
                <w:rFonts w:hint="eastAsia" w:ascii="宋体" w:hAnsi="宋体" w:cs="宋体"/>
                <w:b/>
                <w:bCs/>
                <w:szCs w:val="21"/>
              </w:rPr>
              <w:t>要素</w:t>
            </w:r>
          </w:p>
        </w:tc>
        <w:tc>
          <w:tcPr>
            <w:tcW w:w="1602" w:type="dxa"/>
            <w:vAlign w:val="center"/>
          </w:tcPr>
          <w:p>
            <w:pPr>
              <w:adjustRightInd w:val="0"/>
              <w:snapToGrid w:val="0"/>
              <w:jc w:val="center"/>
              <w:rPr>
                <w:rFonts w:ascii="宋体" w:hAnsi="宋体" w:cs="宋体"/>
                <w:b/>
                <w:bCs/>
                <w:szCs w:val="21"/>
              </w:rPr>
            </w:pPr>
            <w:r>
              <w:rPr>
                <w:rFonts w:hint="eastAsia" w:ascii="宋体" w:hAnsi="宋体" w:cs="宋体"/>
                <w:b/>
                <w:bCs/>
                <w:szCs w:val="21"/>
              </w:rPr>
              <w:t>排放口(编号、</w:t>
            </w:r>
          </w:p>
          <w:p>
            <w:pPr>
              <w:adjustRightInd w:val="0"/>
              <w:snapToGrid w:val="0"/>
              <w:jc w:val="center"/>
              <w:rPr>
                <w:rFonts w:ascii="宋体" w:hAnsi="宋体" w:cs="宋体"/>
                <w:b/>
                <w:bCs/>
                <w:szCs w:val="21"/>
              </w:rPr>
            </w:pPr>
            <w:r>
              <w:rPr>
                <w:rFonts w:hint="eastAsia" w:ascii="宋体" w:hAnsi="宋体" w:cs="宋体"/>
                <w:b/>
                <w:bCs/>
                <w:szCs w:val="21"/>
              </w:rPr>
              <w:t>名称)/污染源</w:t>
            </w:r>
          </w:p>
        </w:tc>
        <w:tc>
          <w:tcPr>
            <w:tcW w:w="1560" w:type="dxa"/>
            <w:vAlign w:val="center"/>
          </w:tcPr>
          <w:p>
            <w:pPr>
              <w:adjustRightInd w:val="0"/>
              <w:snapToGrid w:val="0"/>
              <w:jc w:val="center"/>
              <w:rPr>
                <w:rFonts w:ascii="宋体" w:hAnsi="宋体" w:cs="宋体"/>
                <w:b/>
                <w:bCs/>
                <w:szCs w:val="21"/>
              </w:rPr>
            </w:pPr>
            <w:r>
              <w:rPr>
                <w:rFonts w:hint="eastAsia" w:ascii="宋体" w:hAnsi="宋体" w:cs="宋体"/>
                <w:b/>
                <w:bCs/>
                <w:szCs w:val="21"/>
              </w:rPr>
              <w:t>污染物项目</w:t>
            </w:r>
          </w:p>
        </w:tc>
        <w:tc>
          <w:tcPr>
            <w:tcW w:w="1842" w:type="dxa"/>
            <w:vAlign w:val="center"/>
          </w:tcPr>
          <w:p>
            <w:pPr>
              <w:adjustRightInd w:val="0"/>
              <w:snapToGrid w:val="0"/>
              <w:jc w:val="center"/>
              <w:rPr>
                <w:rFonts w:ascii="宋体" w:hAnsi="宋体" w:cs="宋体"/>
                <w:b/>
                <w:bCs/>
                <w:szCs w:val="21"/>
              </w:rPr>
            </w:pPr>
            <w:r>
              <w:rPr>
                <w:rFonts w:hint="eastAsia" w:ascii="宋体" w:hAnsi="宋体" w:cs="宋体"/>
                <w:b/>
                <w:bCs/>
                <w:szCs w:val="21"/>
              </w:rPr>
              <w:t>环境保护措施</w:t>
            </w:r>
          </w:p>
        </w:tc>
        <w:tc>
          <w:tcPr>
            <w:tcW w:w="2018" w:type="dxa"/>
            <w:vAlign w:val="center"/>
          </w:tcPr>
          <w:p>
            <w:pPr>
              <w:adjustRightInd w:val="0"/>
              <w:snapToGrid w:val="0"/>
              <w:jc w:val="center"/>
              <w:rPr>
                <w:rFonts w:ascii="宋体" w:hAnsi="宋体" w:cs="宋体"/>
                <w:b/>
                <w:bCs/>
                <w:szCs w:val="21"/>
              </w:rPr>
            </w:pPr>
            <w:r>
              <w:rPr>
                <w:rFonts w:hint="eastAsia" w:ascii="宋体" w:hAnsi="宋体" w:cs="宋体"/>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1602" w:type="dxa"/>
            <w:vAlign w:val="center"/>
          </w:tcPr>
          <w:p>
            <w:pPr>
              <w:adjustRightInd w:val="0"/>
              <w:snapToGrid w:val="0"/>
              <w:jc w:val="center"/>
              <w:rPr>
                <w:rFonts w:ascii="宋体" w:hAnsi="宋体" w:cs="宋体"/>
                <w:szCs w:val="21"/>
              </w:rPr>
            </w:pPr>
            <w:r>
              <w:rPr>
                <w:rFonts w:hint="eastAsia" w:ascii="宋体" w:hAnsi="宋体" w:cs="宋体"/>
                <w:szCs w:val="21"/>
              </w:rPr>
              <w:t>食堂</w:t>
            </w:r>
          </w:p>
        </w:tc>
        <w:tc>
          <w:tcPr>
            <w:tcW w:w="1560" w:type="dxa"/>
            <w:vAlign w:val="center"/>
          </w:tcPr>
          <w:p>
            <w:pPr>
              <w:adjustRightInd w:val="0"/>
              <w:snapToGrid w:val="0"/>
              <w:jc w:val="center"/>
              <w:rPr>
                <w:rFonts w:ascii="宋体" w:hAnsi="宋体" w:cs="宋体"/>
                <w:szCs w:val="21"/>
              </w:rPr>
            </w:pPr>
            <w:r>
              <w:rPr>
                <w:rFonts w:hint="eastAsia" w:ascii="宋体" w:hAnsi="宋体" w:cs="宋体"/>
                <w:szCs w:val="21"/>
              </w:rPr>
              <w:t>餐饮油烟</w:t>
            </w:r>
          </w:p>
        </w:tc>
        <w:tc>
          <w:tcPr>
            <w:tcW w:w="1842" w:type="dxa"/>
            <w:vAlign w:val="center"/>
          </w:tcPr>
          <w:p>
            <w:pPr>
              <w:adjustRightInd w:val="0"/>
              <w:snapToGrid w:val="0"/>
              <w:jc w:val="center"/>
              <w:rPr>
                <w:rFonts w:ascii="宋体" w:hAnsi="宋体" w:cs="宋体"/>
                <w:szCs w:val="21"/>
              </w:rPr>
            </w:pPr>
            <w:r>
              <w:rPr>
                <w:szCs w:val="21"/>
              </w:rPr>
              <w:t>油烟净化设施+专用烟道引至楼顶排放</w:t>
            </w:r>
          </w:p>
        </w:tc>
        <w:tc>
          <w:tcPr>
            <w:tcW w:w="2018" w:type="dxa"/>
            <w:vAlign w:val="center"/>
          </w:tcPr>
          <w:p>
            <w:pPr>
              <w:adjustRightInd w:val="0"/>
              <w:snapToGrid w:val="0"/>
              <w:jc w:val="center"/>
              <w:rPr>
                <w:rFonts w:ascii="宋体" w:hAnsi="宋体" w:cs="宋体"/>
                <w:szCs w:val="21"/>
              </w:rPr>
            </w:pPr>
            <w:r>
              <w:rPr>
                <w:szCs w:val="21"/>
              </w:rPr>
              <w:t>《饮食业油烟排放标准（试行）》（GB18483-2001）</w:t>
            </w:r>
            <w:r>
              <w:rPr>
                <w:rFonts w:hint="eastAsia"/>
                <w:szCs w:val="21"/>
              </w:rPr>
              <w:t>中型</w:t>
            </w:r>
            <w:r>
              <w:rPr>
                <w:szCs w:val="21"/>
              </w:rPr>
              <w:t>规模要求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78" w:type="dxa"/>
            <w:vMerge w:val="continue"/>
            <w:vAlign w:val="center"/>
          </w:tcPr>
          <w:p>
            <w:pPr>
              <w:adjustRightInd w:val="0"/>
              <w:snapToGrid w:val="0"/>
              <w:jc w:val="center"/>
              <w:rPr>
                <w:rFonts w:ascii="宋体" w:hAnsi="宋体" w:cs="宋体"/>
                <w:szCs w:val="21"/>
              </w:rPr>
            </w:pPr>
          </w:p>
        </w:tc>
        <w:tc>
          <w:tcPr>
            <w:tcW w:w="1602" w:type="dxa"/>
            <w:vMerge w:val="restart"/>
            <w:vAlign w:val="center"/>
          </w:tcPr>
          <w:p>
            <w:pPr>
              <w:adjustRightInd w:val="0"/>
              <w:snapToGrid w:val="0"/>
              <w:jc w:val="center"/>
              <w:rPr>
                <w:rFonts w:ascii="宋体" w:hAnsi="宋体" w:cs="宋体"/>
                <w:szCs w:val="21"/>
              </w:rPr>
            </w:pPr>
            <w:r>
              <w:rPr>
                <w:rFonts w:hint="eastAsia" w:ascii="宋体" w:hAnsi="宋体" w:cs="宋体"/>
                <w:szCs w:val="21"/>
              </w:rPr>
              <w:t>实验</w:t>
            </w:r>
            <w:r>
              <w:rPr>
                <w:rFonts w:hint="eastAsia" w:ascii="宋体" w:hAnsi="宋体" w:cs="宋体"/>
                <w:szCs w:val="21"/>
                <w:lang w:val="en-US" w:eastAsia="zh-CN"/>
              </w:rPr>
              <w:t>室</w:t>
            </w:r>
            <w:r>
              <w:rPr>
                <w:rFonts w:hint="eastAsia" w:ascii="宋体" w:hAnsi="宋体" w:cs="宋体"/>
                <w:szCs w:val="21"/>
              </w:rPr>
              <w:t>废气</w:t>
            </w:r>
          </w:p>
        </w:tc>
        <w:tc>
          <w:tcPr>
            <w:tcW w:w="1560" w:type="dxa"/>
            <w:vAlign w:val="center"/>
          </w:tcPr>
          <w:p>
            <w:pPr>
              <w:adjustRightInd w:val="0"/>
              <w:snapToGrid w:val="0"/>
              <w:jc w:val="center"/>
              <w:rPr>
                <w:rFonts w:hint="eastAsia" w:ascii="宋体" w:hAnsi="宋体" w:eastAsia="宋体" w:cs="宋体"/>
                <w:color w:val="auto"/>
                <w:szCs w:val="21"/>
                <w:lang w:val="en-US" w:eastAsia="zh-CN"/>
              </w:rPr>
            </w:pPr>
            <w:r>
              <w:rPr>
                <w:rStyle w:val="27"/>
                <w:rFonts w:hint="eastAsia"/>
                <w:color w:val="auto"/>
                <w:kern w:val="0"/>
                <w:szCs w:val="20"/>
                <w:lang w:val="en-US" w:eastAsia="zh-CN"/>
              </w:rPr>
              <w:t>氯化氢</w:t>
            </w:r>
          </w:p>
        </w:tc>
        <w:tc>
          <w:tcPr>
            <w:tcW w:w="1842" w:type="dxa"/>
            <w:vMerge w:val="restart"/>
            <w:vAlign w:val="center"/>
          </w:tcPr>
          <w:p>
            <w:pPr>
              <w:adjustRightInd w:val="0"/>
              <w:snapToGrid w:val="0"/>
              <w:jc w:val="center"/>
              <w:rPr>
                <w:rFonts w:ascii="宋体" w:hAnsi="宋体" w:cs="宋体"/>
                <w:szCs w:val="21"/>
              </w:rPr>
            </w:pPr>
            <w:r>
              <w:rPr>
                <w:rFonts w:hint="eastAsia" w:ascii="宋体" w:hAnsi="宋体" w:cs="宋体"/>
                <w:szCs w:val="21"/>
                <w:lang w:val="en-US" w:eastAsia="zh-CN"/>
              </w:rPr>
              <w:t>试剂配制过程在</w:t>
            </w:r>
            <w:r>
              <w:rPr>
                <w:rFonts w:hint="eastAsia" w:ascii="宋体" w:hAnsi="宋体" w:cs="宋体"/>
                <w:szCs w:val="21"/>
              </w:rPr>
              <w:t>通风橱</w:t>
            </w:r>
            <w:r>
              <w:rPr>
                <w:rFonts w:hint="eastAsia" w:ascii="宋体" w:hAnsi="宋体" w:cs="宋体"/>
                <w:szCs w:val="21"/>
                <w:lang w:val="en-US" w:eastAsia="zh-CN"/>
              </w:rPr>
              <w:t>内进行，产生的实验室废气</w:t>
            </w:r>
            <w:r>
              <w:rPr>
                <w:rFonts w:hint="eastAsia" w:ascii="宋体" w:hAnsi="宋体" w:cs="宋体"/>
                <w:szCs w:val="21"/>
              </w:rPr>
              <w:t>经</w:t>
            </w:r>
            <w:r>
              <w:rPr>
                <w:rFonts w:hint="eastAsia" w:ascii="宋体" w:hAnsi="宋体" w:cs="宋体"/>
                <w:szCs w:val="21"/>
                <w:lang w:val="en-US" w:eastAsia="zh-CN"/>
              </w:rPr>
              <w:t>通风橱收集后经</w:t>
            </w:r>
            <w:r>
              <w:rPr>
                <w:rFonts w:hint="eastAsia" w:ascii="宋体" w:hAnsi="宋体" w:cs="宋体"/>
                <w:szCs w:val="21"/>
              </w:rPr>
              <w:t>集气管道</w:t>
            </w:r>
            <w:r>
              <w:rPr>
                <w:rFonts w:hint="eastAsia" w:ascii="宋体" w:hAnsi="宋体" w:cs="宋体"/>
                <w:szCs w:val="21"/>
                <w:lang w:val="en-US" w:eastAsia="zh-CN"/>
              </w:rPr>
              <w:t>通过15m高</w:t>
            </w:r>
            <w:r>
              <w:rPr>
                <w:rFonts w:hint="eastAsia" w:ascii="宋体" w:hAnsi="宋体" w:cs="宋体"/>
                <w:szCs w:val="21"/>
              </w:rPr>
              <w:t>排气筒排放</w:t>
            </w:r>
          </w:p>
        </w:tc>
        <w:tc>
          <w:tcPr>
            <w:tcW w:w="2018" w:type="dxa"/>
            <w:vMerge w:val="restart"/>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szCs w:val="21"/>
              </w:rPr>
              <w:t>《大气污染物综合排放标准》 （GB16297-1996）表2中</w:t>
            </w:r>
            <w:r>
              <w:rPr>
                <w:rFonts w:hint="eastAsia" w:ascii="Times New Roman" w:hAnsi="Times New Roman" w:eastAsia="宋体" w:cs="Times New Roman"/>
                <w:szCs w:val="21"/>
                <w:lang w:eastAsia="zh-CN"/>
              </w:rPr>
              <w:t>二级</w:t>
            </w:r>
            <w:r>
              <w:rPr>
                <w:rFonts w:hint="default" w:ascii="Times New Roman" w:hAnsi="Times New Roman" w:eastAsia="宋体" w:cs="Times New Roman"/>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778" w:type="dxa"/>
            <w:vMerge w:val="continue"/>
            <w:vAlign w:val="center"/>
          </w:tcPr>
          <w:p>
            <w:pPr>
              <w:adjustRightInd w:val="0"/>
              <w:snapToGrid w:val="0"/>
              <w:jc w:val="center"/>
              <w:rPr>
                <w:rFonts w:ascii="宋体" w:hAnsi="宋体" w:cs="宋体"/>
                <w:szCs w:val="21"/>
              </w:rPr>
            </w:pPr>
          </w:p>
        </w:tc>
        <w:tc>
          <w:tcPr>
            <w:tcW w:w="1602" w:type="dxa"/>
            <w:vMerge w:val="continue"/>
            <w:vAlign w:val="center"/>
          </w:tcPr>
          <w:p>
            <w:pPr>
              <w:adjustRightInd w:val="0"/>
              <w:snapToGrid w:val="0"/>
              <w:jc w:val="center"/>
              <w:rPr>
                <w:rFonts w:hint="eastAsia" w:ascii="宋体" w:hAnsi="宋体" w:cs="宋体"/>
                <w:szCs w:val="21"/>
              </w:rPr>
            </w:pPr>
          </w:p>
        </w:tc>
        <w:tc>
          <w:tcPr>
            <w:tcW w:w="1560" w:type="dxa"/>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硫酸雾</w:t>
            </w:r>
          </w:p>
        </w:tc>
        <w:tc>
          <w:tcPr>
            <w:tcW w:w="1842" w:type="dxa"/>
            <w:vMerge w:val="continue"/>
            <w:vAlign w:val="center"/>
          </w:tcPr>
          <w:p>
            <w:pPr>
              <w:adjustRightInd w:val="0"/>
              <w:snapToGrid w:val="0"/>
              <w:jc w:val="center"/>
              <w:rPr>
                <w:rFonts w:hint="eastAsia" w:ascii="宋体" w:hAnsi="宋体" w:cs="宋体"/>
                <w:szCs w:val="21"/>
              </w:rPr>
            </w:pPr>
          </w:p>
        </w:tc>
        <w:tc>
          <w:tcPr>
            <w:tcW w:w="2018" w:type="dxa"/>
            <w:vMerge w:val="continue"/>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ascii="宋体" w:hAnsi="宋体" w:cs="宋体"/>
                <w:szCs w:val="21"/>
              </w:rPr>
            </w:pPr>
            <w:r>
              <w:rPr>
                <w:rFonts w:hint="eastAsia" w:ascii="宋体" w:hAnsi="宋体" w:cs="宋体"/>
                <w:szCs w:val="21"/>
              </w:rPr>
              <w:t>地表水环境</w:t>
            </w:r>
          </w:p>
        </w:tc>
        <w:tc>
          <w:tcPr>
            <w:tcW w:w="1602" w:type="dxa"/>
            <w:vAlign w:val="center"/>
          </w:tcPr>
          <w:p>
            <w:pPr>
              <w:adjustRightInd w:val="0"/>
              <w:snapToGrid w:val="0"/>
              <w:jc w:val="center"/>
              <w:rPr>
                <w:rFonts w:ascii="宋体" w:hAnsi="宋体" w:cs="宋体"/>
                <w:szCs w:val="21"/>
              </w:rPr>
            </w:pPr>
            <w:r>
              <w:rPr>
                <w:rFonts w:hint="eastAsia" w:ascii="宋体" w:hAnsi="宋体" w:cs="宋体"/>
                <w:szCs w:val="21"/>
              </w:rPr>
              <w:t>日常生活污水</w:t>
            </w:r>
          </w:p>
        </w:tc>
        <w:tc>
          <w:tcPr>
            <w:tcW w:w="1560" w:type="dxa"/>
            <w:vAlign w:val="center"/>
          </w:tcPr>
          <w:p>
            <w:pPr>
              <w:adjustRightInd w:val="0"/>
              <w:snapToGrid w:val="0"/>
              <w:jc w:val="center"/>
              <w:rPr>
                <w:rFonts w:ascii="宋体" w:hAnsi="宋体" w:cs="宋体"/>
                <w:szCs w:val="21"/>
              </w:rPr>
            </w:pPr>
            <w:r>
              <w:rPr>
                <w:szCs w:val="21"/>
              </w:rPr>
              <w:t>COD</w:t>
            </w:r>
            <w:r>
              <w:rPr>
                <w:szCs w:val="21"/>
                <w:vertAlign w:val="subscript"/>
              </w:rPr>
              <w:t>Cr</w:t>
            </w:r>
            <w:r>
              <w:rPr>
                <w:rFonts w:hint="eastAsia"/>
                <w:szCs w:val="21"/>
              </w:rPr>
              <w:t>、NH</w:t>
            </w:r>
            <w:r>
              <w:rPr>
                <w:rFonts w:hint="eastAsia"/>
                <w:szCs w:val="21"/>
                <w:vertAlign w:val="subscript"/>
              </w:rPr>
              <w:t>3</w:t>
            </w:r>
            <w:r>
              <w:rPr>
                <w:rFonts w:hint="eastAsia"/>
                <w:szCs w:val="21"/>
              </w:rPr>
              <w:t>-N</w:t>
            </w:r>
          </w:p>
        </w:tc>
        <w:tc>
          <w:tcPr>
            <w:tcW w:w="1842" w:type="dxa"/>
            <w:vAlign w:val="center"/>
          </w:tcPr>
          <w:p>
            <w:pPr>
              <w:adjustRightInd w:val="0"/>
              <w:snapToGrid w:val="0"/>
              <w:jc w:val="center"/>
              <w:rPr>
                <w:rFonts w:ascii="宋体" w:hAnsi="宋体" w:cs="宋体"/>
                <w:szCs w:val="21"/>
              </w:rPr>
            </w:pPr>
            <w:r>
              <w:rPr>
                <w:rFonts w:hint="eastAsia"/>
                <w:szCs w:val="21"/>
              </w:rPr>
              <w:t>经化粪池处理后进入城镇污水管网</w:t>
            </w:r>
          </w:p>
        </w:tc>
        <w:tc>
          <w:tcPr>
            <w:tcW w:w="2018" w:type="dxa"/>
            <w:vMerge w:val="restart"/>
            <w:vAlign w:val="center"/>
          </w:tcPr>
          <w:p>
            <w:pPr>
              <w:pStyle w:val="10"/>
              <w:rPr>
                <w:rFonts w:ascii="宋体" w:hAnsi="宋体" w:cs="宋体"/>
                <w:szCs w:val="21"/>
                <w:lang w:val="en-US" w:eastAsia="zh-CN"/>
              </w:rPr>
            </w:pPr>
            <w:r>
              <w:rPr>
                <w:sz w:val="21"/>
                <w:szCs w:val="21"/>
                <w:lang w:val="en-US" w:eastAsia="zh-CN"/>
              </w:rPr>
              <w:t>《污水综合排放标准》（GB8978-1996）表4中三级标准</w:t>
            </w:r>
            <w:r>
              <w:rPr>
                <w:rFonts w:hint="eastAsia"/>
                <w:sz w:val="21"/>
                <w:szCs w:val="21"/>
                <w:lang w:val="en-US" w:eastAsia="zh-CN"/>
              </w:rPr>
              <w:t>及</w:t>
            </w:r>
            <w:r>
              <w:rPr>
                <w:sz w:val="21"/>
                <w:szCs w:val="21"/>
                <w:lang w:val="en-US" w:eastAsia="zh-CN"/>
              </w:rPr>
              <w:t>《污水排入城镇下水道水质标准》（GB/T31962-2015）表1中B级限</w:t>
            </w:r>
            <w:r>
              <w:rPr>
                <w:rFonts w:hint="eastAsia"/>
                <w:sz w:val="21"/>
                <w:szCs w:val="21"/>
                <w:lang w:val="en-US" w:eastAsia="zh-CN"/>
              </w:rPr>
              <w:t>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cs="宋体"/>
                <w:szCs w:val="21"/>
              </w:rPr>
            </w:pPr>
          </w:p>
        </w:tc>
        <w:tc>
          <w:tcPr>
            <w:tcW w:w="1602" w:type="dxa"/>
            <w:vAlign w:val="center"/>
          </w:tcPr>
          <w:p>
            <w:pPr>
              <w:adjustRightInd w:val="0"/>
              <w:snapToGrid w:val="0"/>
              <w:jc w:val="center"/>
              <w:rPr>
                <w:rFonts w:ascii="宋体" w:hAnsi="宋体" w:cs="宋体"/>
                <w:szCs w:val="21"/>
              </w:rPr>
            </w:pPr>
            <w:r>
              <w:rPr>
                <w:rFonts w:hint="eastAsia" w:ascii="宋体" w:hAnsi="宋体" w:cs="宋体"/>
                <w:szCs w:val="21"/>
              </w:rPr>
              <w:t>实验废水</w:t>
            </w:r>
          </w:p>
        </w:tc>
        <w:tc>
          <w:tcPr>
            <w:tcW w:w="1560" w:type="dxa"/>
            <w:vAlign w:val="center"/>
          </w:tcPr>
          <w:p>
            <w:pPr>
              <w:adjustRightInd w:val="0"/>
              <w:snapToGrid w:val="0"/>
              <w:jc w:val="center"/>
              <w:rPr>
                <w:rFonts w:ascii="宋体" w:hAnsi="宋体" w:cs="宋体"/>
                <w:szCs w:val="21"/>
              </w:rPr>
            </w:pPr>
            <w:r>
              <w:rPr>
                <w:szCs w:val="21"/>
              </w:rPr>
              <w:t>COD</w:t>
            </w:r>
            <w:r>
              <w:rPr>
                <w:szCs w:val="21"/>
                <w:vertAlign w:val="subscript"/>
              </w:rPr>
              <w:t>Cr</w:t>
            </w:r>
            <w:r>
              <w:rPr>
                <w:rFonts w:hint="eastAsia"/>
                <w:szCs w:val="21"/>
              </w:rPr>
              <w:t>、S</w:t>
            </w:r>
            <w:r>
              <w:rPr>
                <w:szCs w:val="21"/>
              </w:rPr>
              <w:t>S</w:t>
            </w:r>
            <w:r>
              <w:rPr>
                <w:rFonts w:hint="eastAsia"/>
                <w:szCs w:val="21"/>
              </w:rPr>
              <w:t>、NH</w:t>
            </w:r>
            <w:r>
              <w:rPr>
                <w:rFonts w:hint="eastAsia"/>
                <w:szCs w:val="21"/>
                <w:vertAlign w:val="subscript"/>
              </w:rPr>
              <w:t>3</w:t>
            </w:r>
            <w:r>
              <w:rPr>
                <w:rFonts w:hint="eastAsia"/>
                <w:szCs w:val="21"/>
              </w:rPr>
              <w:t>-N</w:t>
            </w:r>
          </w:p>
        </w:tc>
        <w:tc>
          <w:tcPr>
            <w:tcW w:w="1842" w:type="dxa"/>
            <w:vAlign w:val="center"/>
          </w:tcPr>
          <w:p>
            <w:pPr>
              <w:adjustRightInd w:val="0"/>
              <w:snapToGrid w:val="0"/>
              <w:jc w:val="center"/>
              <w:rPr>
                <w:rFonts w:ascii="宋体" w:hAnsi="宋体" w:cs="宋体"/>
                <w:szCs w:val="21"/>
              </w:rPr>
            </w:pPr>
            <w:r>
              <w:rPr>
                <w:rFonts w:hint="eastAsia"/>
                <w:szCs w:val="21"/>
              </w:rPr>
              <w:t>经中和池+化粪池处理后进入城镇污水管网</w:t>
            </w:r>
          </w:p>
        </w:tc>
        <w:tc>
          <w:tcPr>
            <w:tcW w:w="2018"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ascii="宋体" w:hAnsi="宋体" w:cs="宋体"/>
                <w:szCs w:val="21"/>
              </w:rPr>
            </w:pPr>
          </w:p>
        </w:tc>
        <w:tc>
          <w:tcPr>
            <w:tcW w:w="1602" w:type="dxa"/>
            <w:vAlign w:val="center"/>
          </w:tcPr>
          <w:p>
            <w:pPr>
              <w:adjustRightInd w:val="0"/>
              <w:snapToGrid w:val="0"/>
              <w:jc w:val="center"/>
              <w:rPr>
                <w:rFonts w:ascii="宋体" w:hAnsi="宋体" w:cs="宋体"/>
                <w:szCs w:val="21"/>
              </w:rPr>
            </w:pPr>
            <w:r>
              <w:rPr>
                <w:rFonts w:hint="eastAsia" w:ascii="宋体" w:hAnsi="宋体" w:cs="宋体"/>
                <w:szCs w:val="21"/>
              </w:rPr>
              <w:t>食堂餐饮废水</w:t>
            </w:r>
          </w:p>
        </w:tc>
        <w:tc>
          <w:tcPr>
            <w:tcW w:w="1560" w:type="dxa"/>
            <w:vAlign w:val="center"/>
          </w:tcPr>
          <w:p>
            <w:pPr>
              <w:adjustRightInd w:val="0"/>
              <w:snapToGrid w:val="0"/>
              <w:jc w:val="center"/>
              <w:rPr>
                <w:rFonts w:ascii="宋体" w:hAnsi="宋体" w:cs="宋体"/>
                <w:szCs w:val="21"/>
              </w:rPr>
            </w:pPr>
            <w:r>
              <w:rPr>
                <w:szCs w:val="21"/>
              </w:rPr>
              <w:t>COD</w:t>
            </w:r>
            <w:r>
              <w:rPr>
                <w:szCs w:val="21"/>
                <w:vertAlign w:val="subscript"/>
              </w:rPr>
              <w:t>Cr</w:t>
            </w:r>
            <w:r>
              <w:rPr>
                <w:rFonts w:hint="eastAsia"/>
                <w:szCs w:val="21"/>
              </w:rPr>
              <w:t>、B</w:t>
            </w:r>
            <w:r>
              <w:rPr>
                <w:szCs w:val="21"/>
              </w:rPr>
              <w:t>OD</w:t>
            </w:r>
            <w:r>
              <w:rPr>
                <w:szCs w:val="21"/>
                <w:vertAlign w:val="subscript"/>
              </w:rPr>
              <w:t>5</w:t>
            </w:r>
            <w:r>
              <w:rPr>
                <w:rFonts w:hint="eastAsia"/>
                <w:szCs w:val="21"/>
              </w:rPr>
              <w:t>、NH</w:t>
            </w:r>
            <w:r>
              <w:rPr>
                <w:rFonts w:hint="eastAsia"/>
                <w:szCs w:val="21"/>
                <w:vertAlign w:val="subscript"/>
              </w:rPr>
              <w:t>3</w:t>
            </w:r>
            <w:r>
              <w:rPr>
                <w:rFonts w:hint="eastAsia"/>
                <w:szCs w:val="21"/>
              </w:rPr>
              <w:t>-N、动植物油</w:t>
            </w:r>
          </w:p>
        </w:tc>
        <w:tc>
          <w:tcPr>
            <w:tcW w:w="1842" w:type="dxa"/>
            <w:vAlign w:val="center"/>
          </w:tcPr>
          <w:p>
            <w:pPr>
              <w:adjustRightInd w:val="0"/>
              <w:snapToGrid w:val="0"/>
              <w:jc w:val="center"/>
              <w:rPr>
                <w:rFonts w:ascii="宋体" w:hAnsi="宋体" w:cs="宋体"/>
                <w:szCs w:val="21"/>
              </w:rPr>
            </w:pPr>
            <w:r>
              <w:rPr>
                <w:rFonts w:hint="eastAsia"/>
                <w:szCs w:val="21"/>
              </w:rPr>
              <w:t>经隔油隔渣池+化粪池处理后进入城镇污水管网</w:t>
            </w:r>
          </w:p>
        </w:tc>
        <w:tc>
          <w:tcPr>
            <w:tcW w:w="2018" w:type="dxa"/>
            <w:vMerge w:val="continue"/>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1602" w:type="dxa"/>
            <w:vAlign w:val="center"/>
          </w:tcPr>
          <w:p>
            <w:pPr>
              <w:adjustRightInd w:val="0"/>
              <w:snapToGrid w:val="0"/>
              <w:jc w:val="center"/>
              <w:rPr>
                <w:rFonts w:ascii="宋体" w:hAnsi="宋体" w:cs="宋体"/>
                <w:szCs w:val="21"/>
              </w:rPr>
            </w:pPr>
            <w:r>
              <w:rPr>
                <w:rFonts w:hint="eastAsia"/>
                <w:szCs w:val="21"/>
              </w:rPr>
              <w:t>地下车库抽排风机噪声等</w:t>
            </w:r>
          </w:p>
        </w:tc>
        <w:tc>
          <w:tcPr>
            <w:tcW w:w="1560" w:type="dxa"/>
            <w:vAlign w:val="center"/>
          </w:tcPr>
          <w:p>
            <w:pPr>
              <w:adjustRightInd w:val="0"/>
              <w:snapToGrid w:val="0"/>
              <w:jc w:val="center"/>
              <w:rPr>
                <w:rFonts w:ascii="宋体" w:hAnsi="宋体" w:cs="宋体"/>
                <w:szCs w:val="21"/>
              </w:rPr>
            </w:pPr>
            <w:r>
              <w:rPr>
                <w:szCs w:val="21"/>
              </w:rPr>
              <w:t>Leq</w:t>
            </w:r>
          </w:p>
        </w:tc>
        <w:tc>
          <w:tcPr>
            <w:tcW w:w="1842" w:type="dxa"/>
            <w:vAlign w:val="center"/>
          </w:tcPr>
          <w:p>
            <w:pPr>
              <w:adjustRightInd w:val="0"/>
              <w:snapToGrid w:val="0"/>
              <w:jc w:val="center"/>
              <w:rPr>
                <w:rFonts w:ascii="宋体" w:hAnsi="宋体" w:cs="宋体"/>
                <w:szCs w:val="21"/>
              </w:rPr>
            </w:pPr>
            <w:r>
              <w:rPr>
                <w:szCs w:val="21"/>
              </w:rPr>
              <w:t>墙体隔音</w:t>
            </w:r>
            <w:r>
              <w:rPr>
                <w:rFonts w:hint="eastAsia"/>
                <w:szCs w:val="21"/>
              </w:rPr>
              <w:t>、风机管道软连接、减振、</w:t>
            </w:r>
            <w:r>
              <w:rPr>
                <w:szCs w:val="21"/>
              </w:rPr>
              <w:t>距离衰减</w:t>
            </w:r>
            <w:r>
              <w:rPr>
                <w:rFonts w:hint="eastAsia" w:ascii="宋体" w:hAnsi="宋体" w:cs="宋体"/>
                <w:szCs w:val="21"/>
              </w:rPr>
              <w:t>等</w:t>
            </w:r>
          </w:p>
        </w:tc>
        <w:tc>
          <w:tcPr>
            <w:tcW w:w="2018" w:type="dxa"/>
            <w:vAlign w:val="center"/>
          </w:tcPr>
          <w:p>
            <w:pPr>
              <w:spacing w:line="320" w:lineRule="exact"/>
              <w:jc w:val="center"/>
              <w:rPr>
                <w:szCs w:val="21"/>
              </w:rPr>
            </w:pPr>
            <w:r>
              <w:rPr>
                <w:szCs w:val="21"/>
              </w:rPr>
              <w:t>《工业企业厂界环境噪声排放标准》（GB12348-2008）中</w:t>
            </w:r>
            <w:r>
              <w:rPr>
                <w:rFonts w:hint="eastAsia"/>
                <w:szCs w:val="21"/>
              </w:rPr>
              <w:t>2</w:t>
            </w:r>
            <w:r>
              <w:rPr>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7022" w:type="dxa"/>
            <w:gridSpan w:val="4"/>
            <w:vAlign w:val="center"/>
          </w:tcPr>
          <w:p>
            <w:pPr>
              <w:adjustRightInd w:val="0"/>
              <w:snapToGrid w:val="0"/>
              <w:rPr>
                <w:kern w:val="0"/>
                <w:szCs w:val="21"/>
                <w:lang w:val="en-CA"/>
              </w:rPr>
            </w:pPr>
            <w:r>
              <w:rPr>
                <w:rFonts w:hint="eastAsia"/>
                <w:b/>
                <w:bCs/>
                <w:kern w:val="0"/>
                <w:szCs w:val="21"/>
              </w:rPr>
              <w:t>危险废物：</w:t>
            </w:r>
            <w:r>
              <w:rPr>
                <w:rFonts w:hint="eastAsia"/>
                <w:szCs w:val="21"/>
              </w:rPr>
              <w:t>建设1间危废暂存间，危废暂存间</w:t>
            </w:r>
            <w:r>
              <w:rPr>
                <w:szCs w:val="21"/>
              </w:rPr>
              <w:t>总面积为</w:t>
            </w:r>
            <w:r>
              <w:rPr>
                <w:rFonts w:hint="eastAsia"/>
                <w:szCs w:val="21"/>
              </w:rPr>
              <w:t>5</w:t>
            </w:r>
            <w:r>
              <w:rPr>
                <w:szCs w:val="21"/>
              </w:rPr>
              <w:t>m</w:t>
            </w:r>
            <w:r>
              <w:rPr>
                <w:szCs w:val="21"/>
                <w:vertAlign w:val="superscript"/>
              </w:rPr>
              <w:t>2</w:t>
            </w:r>
            <w:r>
              <w:rPr>
                <w:rFonts w:hint="eastAsia"/>
                <w:szCs w:val="21"/>
              </w:rPr>
              <w:t>，</w:t>
            </w:r>
            <w:r>
              <w:rPr>
                <w:szCs w:val="21"/>
                <w:lang w:val="zh-CN"/>
              </w:rPr>
              <w:t>用于储存</w:t>
            </w:r>
            <w:r>
              <w:rPr>
                <w:rFonts w:hint="eastAsia"/>
                <w:szCs w:val="21"/>
                <w:lang w:val="zh-CN"/>
              </w:rPr>
              <w:t>沾染危化品的废包装物及碎玻璃、</w:t>
            </w:r>
            <w:r>
              <w:rPr>
                <w:rFonts w:hint="eastAsia"/>
                <w:szCs w:val="21"/>
              </w:rPr>
              <w:t>过期失效的化学试剂</w:t>
            </w:r>
            <w:r>
              <w:rPr>
                <w:szCs w:val="21"/>
                <w:lang w:val="zh-CN"/>
              </w:rPr>
              <w:t>，</w:t>
            </w:r>
            <w:r>
              <w:rPr>
                <w:rFonts w:hint="eastAsia"/>
                <w:kern w:val="0"/>
                <w:szCs w:val="21"/>
                <w:lang w:val="en-CA"/>
              </w:rPr>
              <w:t>定期委托</w:t>
            </w:r>
            <w:r>
              <w:rPr>
                <w:rFonts w:hint="eastAsia"/>
                <w:kern w:val="0"/>
                <w:szCs w:val="21"/>
                <w:lang w:val="en-US" w:eastAsia="zh-CN"/>
              </w:rPr>
              <w:t>有资质单位</w:t>
            </w:r>
            <w:r>
              <w:rPr>
                <w:rFonts w:hint="eastAsia"/>
                <w:kern w:val="0"/>
                <w:szCs w:val="21"/>
                <w:lang w:val="en-CA"/>
              </w:rPr>
              <w:t>处置。</w:t>
            </w:r>
          </w:p>
          <w:p>
            <w:pPr>
              <w:rPr>
                <w:szCs w:val="21"/>
                <w:lang w:val="zh-CN"/>
              </w:rPr>
            </w:pPr>
            <w:r>
              <w:rPr>
                <w:rFonts w:hint="eastAsia"/>
                <w:b/>
                <w:bCs/>
                <w:kern w:val="0"/>
                <w:szCs w:val="21"/>
                <w:lang w:val="en-CA"/>
              </w:rPr>
              <w:t>一般工业固废：</w:t>
            </w:r>
            <w:r>
              <w:rPr>
                <w:szCs w:val="21"/>
              </w:rPr>
              <w:t>未沾染危化品的废包装物及碎玻璃</w:t>
            </w:r>
            <w:r>
              <w:rPr>
                <w:rFonts w:hint="eastAsia"/>
                <w:szCs w:val="21"/>
              </w:rPr>
              <w:t>，能回收利用的外售回收利用，不能回收利用的</w:t>
            </w:r>
            <w:r>
              <w:rPr>
                <w:rFonts w:hint="eastAsia"/>
                <w:szCs w:val="21"/>
                <w:lang w:val="zh-CN"/>
              </w:rPr>
              <w:t>交由环卫部门清运</w:t>
            </w:r>
            <w:r>
              <w:rPr>
                <w:rFonts w:hint="eastAsia"/>
                <w:szCs w:val="21"/>
              </w:rPr>
              <w:t>至黄山市</w:t>
            </w:r>
            <w:r>
              <w:rPr>
                <w:szCs w:val="21"/>
              </w:rPr>
              <w:t>生活垃圾</w:t>
            </w:r>
            <w:r>
              <w:rPr>
                <w:rFonts w:hint="eastAsia"/>
                <w:szCs w:val="21"/>
              </w:rPr>
              <w:t>综合处理</w:t>
            </w:r>
            <w:r>
              <w:rPr>
                <w:szCs w:val="21"/>
              </w:rPr>
              <w:t>厂</w:t>
            </w:r>
            <w:r>
              <w:rPr>
                <w:rFonts w:hint="eastAsia"/>
                <w:szCs w:val="21"/>
              </w:rPr>
              <w:t>焚烧处置</w:t>
            </w:r>
            <w:r>
              <w:rPr>
                <w:rFonts w:hint="eastAsia"/>
                <w:szCs w:val="21"/>
                <w:lang w:val="zh-CN"/>
              </w:rPr>
              <w:t>。</w:t>
            </w:r>
          </w:p>
          <w:p>
            <w:pPr>
              <w:pStyle w:val="2"/>
              <w:spacing w:line="240" w:lineRule="auto"/>
              <w:ind w:firstLine="0" w:firstLineChars="0"/>
              <w:rPr>
                <w:sz w:val="21"/>
                <w:szCs w:val="21"/>
                <w:lang w:val="en-CA" w:eastAsia="zh-CN"/>
              </w:rPr>
            </w:pPr>
            <w:r>
              <w:rPr>
                <w:rFonts w:hint="eastAsia"/>
                <w:b/>
                <w:bCs/>
                <w:sz w:val="21"/>
                <w:szCs w:val="21"/>
                <w:lang w:val="en-US" w:eastAsia="zh-CN"/>
              </w:rPr>
              <w:t>生活垃圾：</w:t>
            </w:r>
            <w:r>
              <w:rPr>
                <w:sz w:val="21"/>
                <w:szCs w:val="21"/>
                <w:lang w:val="zh-CN" w:eastAsia="zh-CN"/>
              </w:rPr>
              <w:t>生活垃圾</w:t>
            </w:r>
            <w:r>
              <w:rPr>
                <w:rFonts w:hint="eastAsia"/>
                <w:sz w:val="21"/>
                <w:szCs w:val="21"/>
                <w:lang w:val="en-US" w:eastAsia="zh-CN"/>
              </w:rPr>
              <w:t>分类收集，能回收利用的外售回收利用，不能回收利用的</w:t>
            </w:r>
            <w:r>
              <w:rPr>
                <w:rFonts w:hint="eastAsia"/>
                <w:sz w:val="21"/>
                <w:szCs w:val="21"/>
                <w:lang w:val="zh-CN" w:eastAsia="zh-CN"/>
              </w:rPr>
              <w:t>交由环卫部门清运</w:t>
            </w:r>
            <w:r>
              <w:rPr>
                <w:rFonts w:hint="eastAsia"/>
                <w:sz w:val="21"/>
                <w:szCs w:val="21"/>
                <w:lang w:val="en-US" w:eastAsia="zh-CN"/>
              </w:rPr>
              <w:t>至黄山市</w:t>
            </w:r>
            <w:r>
              <w:rPr>
                <w:sz w:val="21"/>
                <w:szCs w:val="21"/>
                <w:lang w:val="en-US" w:eastAsia="zh-CN"/>
              </w:rPr>
              <w:t>生活垃圾</w:t>
            </w:r>
            <w:r>
              <w:rPr>
                <w:rFonts w:hint="eastAsia"/>
                <w:sz w:val="21"/>
                <w:szCs w:val="21"/>
                <w:lang w:val="en-US" w:eastAsia="zh-CN"/>
              </w:rPr>
              <w:t>综合处理</w:t>
            </w:r>
            <w:r>
              <w:rPr>
                <w:sz w:val="21"/>
                <w:szCs w:val="21"/>
                <w:lang w:val="en-US" w:eastAsia="zh-CN"/>
              </w:rPr>
              <w:t>厂</w:t>
            </w:r>
            <w:r>
              <w:rPr>
                <w:rFonts w:hint="eastAsia"/>
                <w:sz w:val="21"/>
                <w:szCs w:val="21"/>
                <w:lang w:val="en-US" w:eastAsia="zh-CN"/>
              </w:rPr>
              <w:t>焚烧处置</w:t>
            </w:r>
            <w:r>
              <w:rPr>
                <w:sz w:val="21"/>
                <w:szCs w:val="21"/>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zCs w:val="21"/>
              </w:rPr>
            </w:pPr>
            <w:r>
              <w:rPr>
                <w:rFonts w:hint="eastAsia" w:ascii="宋体" w:hAnsi="宋体" w:cs="宋体"/>
                <w:szCs w:val="21"/>
              </w:rPr>
              <w:t>生态保护措施</w:t>
            </w:r>
          </w:p>
        </w:tc>
        <w:tc>
          <w:tcPr>
            <w:tcW w:w="7022" w:type="dxa"/>
            <w:gridSpan w:val="4"/>
            <w:vAlign w:val="center"/>
          </w:tcPr>
          <w:p>
            <w:pPr>
              <w:adjustRightInd w:val="0"/>
              <w:snapToGrid w:val="0"/>
              <w:ind w:firstLine="420" w:firstLineChars="200"/>
              <w:rPr>
                <w:rFonts w:ascii="宋体" w:hAnsi="宋体" w:cs="宋体"/>
                <w:szCs w:val="21"/>
              </w:rPr>
            </w:pPr>
            <w:r>
              <w:rPr>
                <w:rFonts w:hint="eastAsia"/>
                <w:szCs w:val="21"/>
              </w:rPr>
              <w:t>拟建项目用地范围内不涉及基本农田，不占用耕地、不使用林地。</w:t>
            </w:r>
            <w:r>
              <w:rPr>
                <w:szCs w:val="21"/>
                <w:lang w:val="zh-CN"/>
              </w:rPr>
              <w:t>为防止水土流失，项目区采取避开雨季施工、临时开挖土方堆场设置围挡</w:t>
            </w:r>
            <w:r>
              <w:rPr>
                <w:rFonts w:hint="eastAsia"/>
                <w:szCs w:val="21"/>
                <w:lang w:val="zh-CN"/>
              </w:rPr>
              <w:t>覆盖</w:t>
            </w:r>
            <w:r>
              <w:rPr>
                <w:szCs w:val="21"/>
                <w:lang w:val="zh-CN"/>
              </w:rPr>
              <w:t>、</w:t>
            </w:r>
            <w:r>
              <w:rPr>
                <w:rFonts w:hint="eastAsia"/>
                <w:szCs w:val="21"/>
                <w:lang w:val="zh-CN"/>
              </w:rPr>
              <w:t>土方</w:t>
            </w:r>
            <w:r>
              <w:rPr>
                <w:szCs w:val="21"/>
                <w:lang w:val="zh-CN"/>
              </w:rPr>
              <w:t>四周设置雨水沟、</w:t>
            </w:r>
            <w:r>
              <w:rPr>
                <w:rFonts w:hint="eastAsia"/>
                <w:szCs w:val="21"/>
                <w:lang w:val="zh-CN"/>
              </w:rPr>
              <w:t>沉淀池、</w:t>
            </w:r>
            <w:r>
              <w:rPr>
                <w:szCs w:val="21"/>
                <w:lang w:val="zh-CN"/>
              </w:rPr>
              <w:t>施工表层土单独存放、施工结束后及时回填用于绿化表层土等措施，</w:t>
            </w:r>
            <w:r>
              <w:rPr>
                <w:rFonts w:hint="eastAsia"/>
                <w:szCs w:val="21"/>
              </w:rPr>
              <w:t>项目绿化面积7679.6m</w:t>
            </w:r>
            <w:r>
              <w:rPr>
                <w:rFonts w:hint="eastAsia"/>
                <w:szCs w:val="21"/>
                <w:vertAlign w:val="superscript"/>
              </w:rPr>
              <w:t>2</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ascii="宋体" w:hAnsi="宋体" w:cs="宋体"/>
                <w:spacing w:val="-8"/>
                <w:szCs w:val="21"/>
              </w:rPr>
            </w:pPr>
            <w:r>
              <w:rPr>
                <w:rFonts w:hint="eastAsia" w:ascii="宋体" w:hAnsi="宋体" w:cs="宋体"/>
                <w:spacing w:val="-8"/>
                <w:szCs w:val="21"/>
              </w:rPr>
              <w:t>防范措施</w:t>
            </w:r>
          </w:p>
        </w:tc>
        <w:tc>
          <w:tcPr>
            <w:tcW w:w="7022" w:type="dxa"/>
            <w:gridSpan w:val="4"/>
            <w:vAlign w:val="center"/>
          </w:tcPr>
          <w:p>
            <w:pPr>
              <w:ind w:firstLine="422" w:firstLineChars="200"/>
              <w:rPr>
                <w:b/>
                <w:bCs/>
                <w:szCs w:val="21"/>
              </w:rPr>
            </w:pPr>
            <w:r>
              <w:rPr>
                <w:rFonts w:hint="eastAsia"/>
                <w:b/>
                <w:bCs/>
                <w:szCs w:val="21"/>
              </w:rPr>
              <w:t>大气环境风险防范措施：</w:t>
            </w:r>
          </w:p>
          <w:p>
            <w:pPr>
              <w:pStyle w:val="6"/>
              <w:spacing w:before="0" w:after="0" w:line="240" w:lineRule="auto"/>
              <w:ind w:firstLine="420" w:firstLineChars="200"/>
              <w:rPr>
                <w:rFonts w:ascii="宋体" w:hAnsi="宋体" w:eastAsia="宋体" w:cs="宋体"/>
                <w:b w:val="0"/>
                <w:bCs w:val="0"/>
                <w:sz w:val="21"/>
                <w:szCs w:val="21"/>
              </w:rPr>
            </w:pPr>
            <w:r>
              <w:rPr>
                <w:rFonts w:hint="eastAsia" w:ascii="宋体" w:hAnsi="宋体" w:eastAsia="宋体" w:cs="宋体"/>
                <w:b w:val="0"/>
                <w:bCs w:val="0"/>
                <w:sz w:val="21"/>
                <w:szCs w:val="21"/>
              </w:rPr>
              <w:t>定时维护实验室集气排气设施，要加强生管理，制定严格的实验操作规范，安全用电。本项目使用的乙醇属于易燃物，应当储存得当，试剂库设置禁烟标志，采取严格的安全措施，严格控制点火源，配备合理的消防设施针。对实验室、试剂库、危废暂存间实时监控，需专人对其负责管理，设置事故状态下安全疏散通道。</w:t>
            </w:r>
          </w:p>
          <w:p>
            <w:pPr>
              <w:ind w:firstLine="420" w:firstLineChars="200"/>
              <w:rPr>
                <w:szCs w:val="21"/>
              </w:rPr>
            </w:pPr>
            <w:r>
              <w:rPr>
                <w:rFonts w:hint="eastAsia"/>
                <w:szCs w:val="21"/>
              </w:rPr>
              <w:t>校园</w:t>
            </w:r>
            <w:r>
              <w:rPr>
                <w:szCs w:val="21"/>
              </w:rPr>
              <w:t>的电气设备应严格按照《爆炸和火灾危险环境电力装置设计规范》 （GB50058－2014）进行设计、安装，达到整体防爆要求，并采取静电接地保护施；另外应加强工作人员的安全教育，保持工作面、设备表面清洁，采取正确的清扫方法，及时建设设备也是必不可少的防护措施。</w:t>
            </w:r>
          </w:p>
          <w:p>
            <w:pPr>
              <w:ind w:firstLine="422" w:firstLineChars="200"/>
              <w:rPr>
                <w:b/>
                <w:bCs/>
                <w:color w:val="auto"/>
                <w:szCs w:val="21"/>
              </w:rPr>
            </w:pPr>
            <w:r>
              <w:rPr>
                <w:b/>
                <w:bCs/>
                <w:color w:val="auto"/>
                <w:szCs w:val="21"/>
              </w:rPr>
              <w:t>水环境风险防范措施</w:t>
            </w:r>
            <w:r>
              <w:rPr>
                <w:rFonts w:hint="eastAsia"/>
                <w:b/>
                <w:bCs/>
                <w:color w:val="auto"/>
                <w:szCs w:val="21"/>
              </w:rPr>
              <w:t>：</w:t>
            </w:r>
          </w:p>
          <w:p>
            <w:pPr>
              <w:ind w:firstLine="420" w:firstLineChars="200"/>
              <w:rPr>
                <w:color w:val="auto"/>
                <w:szCs w:val="21"/>
              </w:rPr>
            </w:pPr>
            <w:r>
              <w:rPr>
                <w:color w:val="auto"/>
                <w:szCs w:val="21"/>
              </w:rPr>
              <w:t>①建立风险防控体系，对水体的危害实现源头、终端</w:t>
            </w:r>
            <w:r>
              <w:rPr>
                <w:rFonts w:hint="eastAsia"/>
                <w:color w:val="auto"/>
                <w:szCs w:val="21"/>
              </w:rPr>
              <w:t>二</w:t>
            </w:r>
            <w:r>
              <w:rPr>
                <w:color w:val="auto"/>
                <w:szCs w:val="21"/>
              </w:rPr>
              <w:t>级防控。</w:t>
            </w:r>
          </w:p>
          <w:p>
            <w:pPr>
              <w:pStyle w:val="5"/>
              <w:spacing w:before="0" w:beforeAutospacing="0" w:after="0" w:afterAutospacing="0"/>
              <w:ind w:firstLine="420" w:firstLineChars="200"/>
              <w:rPr>
                <w:rFonts w:hint="default" w:ascii="Times New Roman" w:hAnsi="Times New Roman"/>
                <w:b w:val="0"/>
                <w:bCs w:val="0"/>
                <w:color w:val="auto"/>
                <w:sz w:val="21"/>
                <w:szCs w:val="21"/>
              </w:rPr>
            </w:pPr>
            <w:r>
              <w:rPr>
                <w:b w:val="0"/>
                <w:bCs w:val="0"/>
                <w:color w:val="auto"/>
                <w:sz w:val="21"/>
                <w:szCs w:val="21"/>
              </w:rPr>
              <w:t>②</w:t>
            </w:r>
            <w:r>
              <w:rPr>
                <w:rFonts w:hint="default" w:ascii="Times New Roman" w:hAnsi="Times New Roman"/>
                <w:b w:val="0"/>
                <w:bCs w:val="0"/>
                <w:color w:val="auto"/>
                <w:sz w:val="21"/>
                <w:szCs w:val="21"/>
              </w:rPr>
              <w:t>危废暂存间、试剂库、实验室内</w:t>
            </w:r>
            <w:r>
              <w:rPr>
                <w:rFonts w:ascii="Times New Roman" w:hAnsi="Times New Roman"/>
                <w:b w:val="0"/>
                <w:bCs w:val="0"/>
                <w:color w:val="auto"/>
                <w:sz w:val="21"/>
                <w:szCs w:val="21"/>
              </w:rPr>
              <w:t>的试剂密闭瓶装，放置在防渗漏托盘上</w:t>
            </w:r>
            <w:r>
              <w:rPr>
                <w:rFonts w:hint="default" w:ascii="Times New Roman" w:hAnsi="Times New Roman"/>
                <w:b w:val="0"/>
                <w:bCs w:val="0"/>
                <w:color w:val="auto"/>
                <w:sz w:val="21"/>
                <w:szCs w:val="21"/>
              </w:rPr>
              <w:t>，一旦发生物料泄漏，泄漏物料全部收集在</w:t>
            </w:r>
            <w:r>
              <w:rPr>
                <w:rFonts w:ascii="Times New Roman" w:hAnsi="Times New Roman"/>
                <w:b w:val="0"/>
                <w:bCs w:val="0"/>
                <w:color w:val="auto"/>
                <w:sz w:val="21"/>
                <w:szCs w:val="21"/>
              </w:rPr>
              <w:t>防渗漏托盘</w:t>
            </w:r>
            <w:r>
              <w:rPr>
                <w:rFonts w:hint="default" w:ascii="Times New Roman" w:hAnsi="Times New Roman"/>
                <w:b w:val="0"/>
                <w:bCs w:val="0"/>
                <w:color w:val="auto"/>
                <w:sz w:val="21"/>
                <w:szCs w:val="21"/>
              </w:rPr>
              <w:t>内。</w:t>
            </w:r>
          </w:p>
          <w:p>
            <w:pPr>
              <w:ind w:firstLine="422" w:firstLineChars="200"/>
              <w:rPr>
                <w:b/>
                <w:bCs/>
                <w:color w:val="auto"/>
                <w:szCs w:val="21"/>
              </w:rPr>
            </w:pPr>
            <w:r>
              <w:rPr>
                <w:rFonts w:hint="eastAsia"/>
                <w:b/>
                <w:bCs/>
                <w:color w:val="auto"/>
                <w:szCs w:val="21"/>
              </w:rPr>
              <w:t>地下水风险防范措施:</w:t>
            </w:r>
          </w:p>
          <w:p>
            <w:pPr>
              <w:ind w:firstLine="420" w:firstLineChars="200"/>
              <w:rPr>
                <w:szCs w:val="21"/>
              </w:rPr>
            </w:pPr>
            <w:r>
              <w:rPr>
                <w:color w:val="auto"/>
                <w:szCs w:val="21"/>
              </w:rPr>
              <w:t>①加强源头控制，加强管理，将污染物跑、冒、滴、漏降低</w:t>
            </w:r>
            <w:r>
              <w:rPr>
                <w:szCs w:val="21"/>
              </w:rPr>
              <w:t>到最低限度。</w:t>
            </w:r>
          </w:p>
          <w:p>
            <w:pPr>
              <w:ind w:firstLine="420" w:firstLineChars="200"/>
              <w:rPr>
                <w:szCs w:val="21"/>
              </w:rPr>
            </w:pPr>
            <w:r>
              <w:rPr>
                <w:szCs w:val="21"/>
              </w:rPr>
              <w:t>②做好分区防腐防渗措施，避免事故废水、危化品和危险物质泄漏进入地下水和土壤。</w:t>
            </w:r>
          </w:p>
          <w:p>
            <w:pPr>
              <w:ind w:firstLine="420" w:firstLineChars="200"/>
              <w:rPr>
                <w:szCs w:val="21"/>
              </w:rPr>
            </w:pPr>
            <w:r>
              <w:rPr>
                <w:rFonts w:hint="eastAsia"/>
                <w:szCs w:val="21"/>
              </w:rPr>
              <w:t>将拟建项目实验室、危废暂存间、试剂库、中和池底及池壁为重点防腐防渗区，实验室、危废暂存间、试剂库地面与裙角基础必须防腐防渗，采取2mm厚高密度聚乙烯（HDPE），渗透系数≤10</w:t>
            </w:r>
            <w:r>
              <w:rPr>
                <w:rFonts w:hint="eastAsia"/>
                <w:szCs w:val="21"/>
                <w:vertAlign w:val="superscript"/>
              </w:rPr>
              <w:t>-10</w:t>
            </w:r>
            <w:r>
              <w:rPr>
                <w:rFonts w:hint="eastAsia"/>
                <w:szCs w:val="21"/>
              </w:rPr>
              <w:t>cm/s，并刷环氧树脂涂层。</w:t>
            </w:r>
          </w:p>
          <w:p>
            <w:pPr>
              <w:adjustRightInd w:val="0"/>
              <w:snapToGrid w:val="0"/>
              <w:ind w:firstLine="422" w:firstLineChars="200"/>
              <w:rPr>
                <w:b/>
                <w:bCs/>
                <w:szCs w:val="21"/>
              </w:rPr>
            </w:pPr>
            <w:r>
              <w:rPr>
                <w:rFonts w:hint="eastAsia"/>
                <w:b/>
                <w:bCs/>
                <w:szCs w:val="21"/>
              </w:rPr>
              <w:t>按相关要求编制应急预案。</w:t>
            </w:r>
          </w:p>
          <w:p>
            <w:pPr>
              <w:adjustRightInd w:val="0"/>
              <w:snapToGrid w:val="0"/>
              <w:ind w:firstLine="420" w:firstLineChars="200"/>
              <w:rPr>
                <w:rFonts w:ascii="宋体" w:hAnsi="宋体" w:cs="宋体"/>
                <w:szCs w:val="21"/>
              </w:rPr>
            </w:pPr>
            <w:r>
              <w:rPr>
                <w:rFonts w:hint="eastAsia"/>
                <w:szCs w:val="21"/>
              </w:rPr>
              <w:t>按相关要求储存化学危险品，并设置相应的通风、防爆、防火、灭火等安全设施；加强工作人员安全教育，树立安全意识，加强管理，</w:t>
            </w:r>
            <w:r>
              <w:rPr>
                <w:kern w:val="0"/>
                <w:szCs w:val="21"/>
              </w:rPr>
              <w:t>配备应急设施和应急物资，并定期进行演练。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ascii="宋体" w:hAnsi="宋体" w:cs="宋体"/>
                <w:spacing w:val="-8"/>
                <w:szCs w:val="21"/>
              </w:rPr>
            </w:pPr>
            <w:r>
              <w:rPr>
                <w:rFonts w:hint="eastAsia" w:ascii="宋体" w:hAnsi="宋体" w:cs="宋体"/>
                <w:spacing w:val="-8"/>
                <w:szCs w:val="21"/>
              </w:rPr>
              <w:t>管理要求</w:t>
            </w:r>
          </w:p>
        </w:tc>
        <w:tc>
          <w:tcPr>
            <w:tcW w:w="7022" w:type="dxa"/>
            <w:gridSpan w:val="4"/>
            <w:vAlign w:val="center"/>
          </w:tcPr>
          <w:p>
            <w:pPr>
              <w:adjustRightInd w:val="0"/>
              <w:snapToGrid w:val="0"/>
              <w:ind w:firstLine="420" w:firstLineChars="200"/>
              <w:rPr>
                <w:rFonts w:hint="eastAsia"/>
              </w:rPr>
            </w:pPr>
            <w:r>
              <w:t>雨水</w:t>
            </w:r>
            <w:r>
              <w:rPr>
                <w:rFonts w:hint="eastAsia"/>
              </w:rPr>
              <w:t>、污水</w:t>
            </w:r>
            <w:r>
              <w:t>接管口达到排污口规范化相关要求</w:t>
            </w:r>
            <w:r>
              <w:rPr>
                <w:rFonts w:hint="eastAsia"/>
              </w:rPr>
              <w:t>。</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ind w:left="0" w:leftChars="0" w:firstLine="0" w:firstLineChars="0"/>
            </w:pPr>
          </w:p>
        </w:tc>
      </w:tr>
    </w:tbl>
    <w:p>
      <w:pPr>
        <w:pStyle w:val="19"/>
        <w:jc w:val="center"/>
        <w:outlineLvl w:val="0"/>
        <w:rPr>
          <w:rFonts w:ascii="黑体" w:hAnsi="黑体" w:eastAsia="黑体"/>
          <w:snapToGrid w:val="0"/>
          <w:sz w:val="30"/>
          <w:szCs w:val="30"/>
        </w:rPr>
      </w:pPr>
      <w:r>
        <w:rPr>
          <w:snapToGrid w:val="0"/>
        </w:rPr>
        <w:br w:type="page"/>
      </w:r>
      <w:bookmarkStart w:id="16" w:name="_Toc22523"/>
      <w:r>
        <w:rPr>
          <w:rStyle w:val="30"/>
          <w:rFonts w:hint="eastAsia"/>
        </w:rPr>
        <w:t>六、结论</w:t>
      </w:r>
      <w:bookmarkEnd w:id="16"/>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9" w:hRule="atLeast"/>
        </w:trPr>
        <w:tc>
          <w:tcPr>
            <w:tcW w:w="9060" w:type="dxa"/>
          </w:tcPr>
          <w:p>
            <w:pPr>
              <w:spacing w:line="480" w:lineRule="exact"/>
              <w:ind w:firstLine="480" w:firstLineChars="200"/>
              <w:rPr>
                <w:sz w:val="24"/>
                <w:lang w:val="zh-CN"/>
              </w:rPr>
            </w:pPr>
            <w:r>
              <w:rPr>
                <w:sz w:val="24"/>
                <w:lang w:val="zh-CN"/>
              </w:rPr>
              <w:t>本项目符合国家产业政策，选址符合黄山市城市总体规划和土地利用规划，符合“三线一单”的相关要求。建设单位在按环评要求做好各项污染防治措施前提下，各种污染物均能实现达标排放，且满足区域功能区划和总量控制要求。从环保角度看，拟建项目建设可行。</w:t>
            </w:r>
          </w:p>
          <w:p>
            <w:pPr>
              <w:rPr>
                <w:rFonts w:ascii="宋体"/>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648" w:lineRule="auto"/>
        <w:jc w:val="left"/>
        <w:outlineLvl w:val="0"/>
      </w:pPr>
      <w:bookmarkStart w:id="17" w:name="_Toc27924"/>
      <w:r>
        <w:rPr>
          <w:rFonts w:hint="eastAsia" w:ascii="Times New Roman" w:hAnsi="Times New Roman"/>
          <w:b/>
          <w:bCs/>
          <w:kern w:val="2"/>
          <w:sz w:val="32"/>
          <w:szCs w:val="32"/>
        </w:rPr>
        <w:t>附图</w:t>
      </w:r>
      <w:bookmarkEnd w:id="17"/>
      <w:r>
        <w:pict>
          <v:shape id="_x0000_i1029" o:spt="75" type="#_x0000_t75" style="height:514.2pt;width:424.85pt;" filled="f" o:preferrelative="t" stroked="f" coordsize="21600,21600">
            <v:path/>
            <v:fill on="f" focussize="0,0"/>
            <v:stroke on="f"/>
            <v:imagedata r:id="rId27" o:title=""/>
            <o:lock v:ext="edit" aspectratio="t"/>
            <w10:wrap type="none"/>
            <w10:anchorlock/>
          </v:shape>
        </w:pict>
      </w:r>
    </w:p>
    <w:p>
      <w:pPr>
        <w:bidi w:val="0"/>
        <w:jc w:val="center"/>
        <w:rPr>
          <w:rFonts w:hint="default"/>
          <w:b/>
          <w:bCs/>
          <w:sz w:val="24"/>
          <w:szCs w:val="24"/>
          <w:lang w:val="en-US" w:eastAsia="zh-CN"/>
        </w:rPr>
        <w:sectPr>
          <w:footerReference r:id="rId9" w:type="default"/>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b/>
          <w:bCs/>
          <w:sz w:val="24"/>
          <w:szCs w:val="24"/>
          <w:lang w:val="en-US" w:eastAsia="zh-CN"/>
        </w:rPr>
        <w:t>附图1</w:t>
      </w:r>
      <w:r>
        <w:rPr>
          <w:b/>
          <w:bCs/>
          <w:sz w:val="24"/>
          <w:szCs w:val="24"/>
        </w:rPr>
        <w:t>项目地理位置图</w:t>
      </w:r>
    </w:p>
    <w:p>
      <w:pPr>
        <w:pStyle w:val="19"/>
        <w:adjustRightInd w:val="0"/>
        <w:snapToGrid w:val="0"/>
        <w:spacing w:before="0" w:beforeAutospacing="0" w:after="0" w:afterAutospacing="0" w:line="648" w:lineRule="auto"/>
        <w:jc w:val="center"/>
        <w:rPr>
          <w:b/>
          <w:bCs/>
        </w:rPr>
      </w:pPr>
      <w:r>
        <w:pict>
          <v:shape id="自选图形 42" o:spid="_x0000_s1090" o:spt="61" type="#_x0000_t61" style="position:absolute;left:0pt;margin-left:167.9pt;margin-top:262.25pt;height:21.25pt;width:48.4pt;z-index:251659264;mso-width-relative:page;mso-height-relative:page;" fillcolor="#FDEADA" filled="t" coordsize="21600,21600" o:gfxdata="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cxVRdkAAAALAQAADwAAAAAAAAABACAAAAAiAAAA&#10;ZHJzL2Rvd25yZXYueG1sUEsBAhQAFAAAAAgAh07iQD8zVDo/AgAAjgQAAA4AAAAAAAAAAQAgAAAA&#10;KAEAAGRycy9lMm9Eb2MueG1sUEsFBgAAAAAGAAYAWQEAANkFAAAAAA==&#10;" adj="-624,40328">
            <v:path/>
            <v:fill on="t" focussize="0,0"/>
            <v:stroke joinstyle="miter"/>
            <v:imagedata o:title=""/>
            <o:lock v:ext="edit"/>
            <v:textbox>
              <w:txbxContent>
                <w:p>
                  <w:r>
                    <w:rPr>
                      <w:rFonts w:hint="eastAsia"/>
                    </w:rPr>
                    <w:t>本项目</w:t>
                  </w:r>
                </w:p>
              </w:txbxContent>
            </v:textbox>
          </v:shape>
        </w:pict>
      </w:r>
      <w:r>
        <w:pict>
          <v:shape id="_x0000_i1030" o:spt="75" alt="微信图片_20201228163029" type="#_x0000_t75" style="height:671.25pt;width:414.75pt;" filled="f" o:preferrelative="t" stroked="f" coordsize="21600,21600">
            <v:path/>
            <v:fill on="f" focussize="0,0"/>
            <v:stroke on="f"/>
            <v:imagedata r:id="rId28" o:title="微信图片_20201228163029"/>
            <o:lock v:ext="edit" aspectratio="t"/>
            <w10:wrap type="none"/>
            <w10:anchorlock/>
          </v:shape>
        </w:pict>
      </w:r>
      <w:r>
        <w:rPr>
          <w:b/>
          <w:bCs/>
        </w:rPr>
        <w:t>附图</w:t>
      </w:r>
      <w:r>
        <w:rPr>
          <w:rFonts w:hint="eastAsia"/>
          <w:b/>
          <w:bCs/>
        </w:rPr>
        <w:t>2黄山市城市总体</w:t>
      </w:r>
      <w:r>
        <w:rPr>
          <w:rFonts w:hint="eastAsia"/>
          <w:b/>
          <w:bCs/>
          <w:color w:val="000000"/>
        </w:rPr>
        <w:t>规划图</w:t>
      </w:r>
    </w:p>
    <w:p>
      <w:pPr>
        <w:pStyle w:val="19"/>
        <w:adjustRightInd w:val="0"/>
        <w:snapToGrid w:val="0"/>
        <w:spacing w:before="0" w:beforeAutospacing="0" w:after="0" w:afterAutospacing="0" w:line="648" w:lineRule="auto"/>
        <w:outlineLvl w:val="0"/>
        <w:rPr>
          <w:rFonts w:ascii="黑体" w:hAnsi="黑体" w:eastAsia="黑体"/>
          <w:snapToGrid w:val="0"/>
          <w:sz w:val="32"/>
          <w:szCs w:val="32"/>
        </w:rPr>
        <w:sectPr>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648" w:lineRule="auto"/>
        <w:jc w:val="both"/>
        <w:rPr>
          <w:rFonts w:cs="宋体"/>
          <w:snapToGrid w:val="0"/>
          <w:sz w:val="21"/>
          <w:szCs w:val="21"/>
        </w:rPr>
      </w:pPr>
      <w:r>
        <w:pict>
          <v:shape id="文本框 35" o:spid="_x0000_s1089" o:spt="202" type="#_x0000_t202" style="position:absolute;left:0pt;margin-left:215.35pt;margin-top:179.95pt;height:27.3pt;width:71.5pt;z-index:251659264;mso-width-relative:page;mso-height-relative:page;" filled="f" stroked="f" coordsize="21600,21600" o:gfxdata="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u5E/TY&#10;AAAACwEAAA8AAAAAAAAAAQAgAAAAIgAAAGRycy9kb3ducmV2LnhtbFBLAQIUABQAAAAIAIdO4kDV&#10;CEf0rgEAAE4DAAAOAAAAAAAAAAEAIAAAACcBAABkcnMvZTJvRG9jLnhtbFBLBQYAAAAABgAGAFkB&#10;AABHBQAAAAA=&#10;">
            <v:path/>
            <v:fill on="f" focussize="0,0"/>
            <v:stroke on="f" joinstyle="miter"/>
            <v:imagedata o:title=""/>
            <o:lock v:ext="edit"/>
            <v:textbox>
              <w:txbxContent>
                <w:p>
                  <w:pPr>
                    <w:rPr>
                      <w:b/>
                      <w:bCs/>
                      <w:color w:val="FF0000"/>
                    </w:rPr>
                  </w:pPr>
                  <w:r>
                    <w:rPr>
                      <w:rFonts w:hint="eastAsia"/>
                      <w:b/>
                      <w:bCs/>
                      <w:color w:val="FF0000"/>
                    </w:rPr>
                    <w:t>学生宿舍楼</w:t>
                  </w:r>
                </w:p>
              </w:txbxContent>
            </v:textbox>
          </v:shape>
        </w:pict>
      </w:r>
      <w:r>
        <w:pict>
          <v:shape id="文本框 77" o:spid="_x0000_s1088" o:spt="202" type="#_x0000_t202" style="position:absolute;left:0pt;margin-left:244.1pt;margin-top:243.55pt;height:27.3pt;width:129.4pt;z-index:251659264;mso-width-relative:page;mso-height-relative:page;" filled="f" stroked="f" coordsize="21600,21600" o:gfxdata="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yJpR&#10;2AAAAAsBAAAPAAAAAAAAAAEAIAAAACIAAABkcnMvZG93bnJldi54bWxQSwECFAAUAAAACACHTuJA&#10;yXpmuq8BAABPAwAADgAAAAAAAAABACAAAAAnAQAAZHJzL2Uyb0RvYy54bWxQSwUGAAAAAAYABgBZ&#10;AQAASAUAAAAA&#10;">
            <v:path/>
            <v:fill on="f" focussize="0,0"/>
            <v:stroke on="f" joinstyle="miter"/>
            <v:imagedata o:title=""/>
            <o:lock v:ext="edit"/>
            <v:textbox>
              <w:txbxContent>
                <w:p>
                  <w:pPr>
                    <w:pStyle w:val="28"/>
                    <w:spacing w:before="120" w:after="120"/>
                    <w:rPr>
                      <w:b/>
                      <w:bCs/>
                      <w:color w:val="FF0000"/>
                    </w:rPr>
                  </w:pPr>
                  <w:r>
                    <w:rPr>
                      <w:rFonts w:hint="eastAsia"/>
                      <w:b/>
                      <w:bCs/>
                      <w:color w:val="FF0000"/>
                    </w:rPr>
                    <w:t>行政办公楼</w:t>
                  </w:r>
                </w:p>
                <w:p>
                  <w:pPr>
                    <w:pStyle w:val="28"/>
                    <w:spacing w:before="120" w:after="120"/>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r>
                    <w:rPr>
                      <w:rFonts w:hint="eastAsia"/>
                      <w:b/>
                      <w:bCs/>
                      <w:color w:val="FF0000"/>
                    </w:rPr>
                    <w:t>教学、实验、行政综合楼</w:t>
                  </w:r>
                </w:p>
              </w:txbxContent>
            </v:textbox>
          </v:shape>
        </w:pict>
      </w:r>
      <w:r>
        <w:pict>
          <v:shape id="文本框 36" o:spid="_x0000_s1087" o:spt="202" type="#_x0000_t202" style="position:absolute;left:0pt;margin-left:279.05pt;margin-top:189.75pt;height:27.3pt;width:71.5pt;z-index:251659264;mso-width-relative:page;mso-height-relative:page;" filled="f" stroked="f" coordsize="21600,21600" o:gfxdata="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AUmdgA&#10;AAALAQAADwAAAAAAAAABACAAAAAiAAAAZHJzL2Rvd25yZXYueG1sUEsBAhQAFAAAAAgAh07iQFaj&#10;7h+tAQAATwMAAA4AAAAAAAAAAQAgAAAAJwEAAGRycy9lMm9Eb2MueG1sUEsFBgAAAAAGAAYAWQEA&#10;AEYFAAAAAA==&#10;">
            <v:path/>
            <v:fill on="f" focussize="0,0"/>
            <v:stroke on="f" joinstyle="miter"/>
            <v:imagedata o:title=""/>
            <o:lock v:ext="edit"/>
            <v:textbox>
              <w:txbxContent>
                <w:p>
                  <w:pPr>
                    <w:rPr>
                      <w:b/>
                      <w:bCs/>
                      <w:color w:val="FF0000"/>
                    </w:rPr>
                  </w:pPr>
                  <w:r>
                    <w:rPr>
                      <w:rFonts w:hint="eastAsia"/>
                      <w:b/>
                      <w:bCs/>
                      <w:color w:val="FF0000"/>
                    </w:rPr>
                    <w:t>教工公寓楼</w:t>
                  </w:r>
                </w:p>
              </w:txbxContent>
            </v:textbox>
          </v:shape>
        </w:pict>
      </w:r>
      <w:r>
        <w:pict>
          <v:shape id="文本框 76" o:spid="_x0000_s1086" o:spt="202" type="#_x0000_t202" style="position:absolute;left:0pt;margin-left:203.2pt;margin-top:261.85pt;height:27.3pt;width:129.4pt;z-index:251659264;mso-width-relative:page;mso-height-relative:page;" filled="f" stroked="f" coordsize="21600,21600" o:gfxdata="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ImvDY&#10;AAAACwEAAA8AAAAAAAAAAQAgAAAAIgAAAGRycy9kb3ducmV2LnhtbFBLAQIUABQAAAAIAIdO4kAA&#10;DoPargEAAFADAAAOAAAAAAAAAAEAIAAAACcBAABkcnMvZTJvRG9jLnhtbFBLBQYAAAAABgAGAFkB&#10;AABHBQAAAAA=&#10;">
            <v:path/>
            <v:fill on="f" focussize="0,0"/>
            <v:stroke on="f" joinstyle="miter"/>
            <v:imagedata o:title=""/>
            <o:lock v:ext="edit"/>
            <v:textbox>
              <w:txbxContent>
                <w:p>
                  <w:pPr>
                    <w:pStyle w:val="28"/>
                    <w:spacing w:before="120" w:after="120"/>
                    <w:rPr>
                      <w:b/>
                      <w:bCs/>
                      <w:color w:val="FF0000"/>
                    </w:rPr>
                  </w:pPr>
                  <w:r>
                    <w:rPr>
                      <w:rFonts w:hint="eastAsia"/>
                      <w:b/>
                      <w:bCs/>
                      <w:color w:val="FF0000"/>
                    </w:rPr>
                    <w:t>教学综合楼</w:t>
                  </w:r>
                </w:p>
                <w:p>
                  <w:pPr>
                    <w:pStyle w:val="28"/>
                    <w:spacing w:before="120" w:after="120"/>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r>
                    <w:rPr>
                      <w:rFonts w:hint="eastAsia"/>
                      <w:b/>
                      <w:bCs/>
                      <w:color w:val="FF0000"/>
                    </w:rPr>
                    <w:t>教学、实验、行政综合楼</w:t>
                  </w:r>
                </w:p>
              </w:txbxContent>
            </v:textbox>
          </v:shape>
        </w:pict>
      </w:r>
      <w:r>
        <w:pict>
          <v:shape id="文本框 34" o:spid="_x0000_s1085" o:spt="202" type="#_x0000_t202" style="position:absolute;left:0pt;margin-left:211.05pt;margin-top:222.5pt;height:27.3pt;width:129.4pt;z-index:251659264;mso-width-relative:page;mso-height-relative:page;" filled="f" stroked="f" coordsize="21600,21600" o:gfxdata="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tM1x9gA&#10;AAALAQAADwAAAAAAAAABACAAAAAiAAAAZHJzL2Rvd25yZXYueG1sUEsBAhQAFAAAAAgAh07iQE3s&#10;ILGtAQAAUAMAAA4AAAAAAAAAAQAgAAAAJwEAAGRycy9lMm9Eb2MueG1sUEsFBgAAAAAGAAYAWQEA&#10;AEYFAAAAAA==&#10;">
            <v:path/>
            <v:fill on="f" focussize="0,0"/>
            <v:stroke on="f" joinstyle="miter"/>
            <v:imagedata o:title=""/>
            <o:lock v:ext="edit"/>
            <v:textbox>
              <w:txbxContent>
                <w:p>
                  <w:pPr>
                    <w:pStyle w:val="28"/>
                    <w:spacing w:before="120" w:after="120"/>
                    <w:rPr>
                      <w:b/>
                      <w:bCs/>
                      <w:color w:val="FF0000"/>
                    </w:rPr>
                  </w:pPr>
                  <w:r>
                    <w:rPr>
                      <w:rFonts w:hint="eastAsia"/>
                      <w:b/>
                      <w:bCs/>
                      <w:color w:val="FF0000"/>
                    </w:rPr>
                    <w:t>教学综合楼</w:t>
                  </w:r>
                </w:p>
                <w:p>
                  <w:pPr>
                    <w:pStyle w:val="28"/>
                    <w:spacing w:before="120" w:after="120"/>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p>
                <w:p>
                  <w:pPr>
                    <w:rPr>
                      <w:b/>
                      <w:bCs/>
                      <w:color w:val="FF0000"/>
                    </w:rPr>
                  </w:pPr>
                  <w:r>
                    <w:rPr>
                      <w:rFonts w:hint="eastAsia"/>
                      <w:b/>
                      <w:bCs/>
                      <w:color w:val="FF0000"/>
                    </w:rPr>
                    <w:t>教学、实验、行政综合楼</w:t>
                  </w:r>
                </w:p>
              </w:txbxContent>
            </v:textbox>
          </v:shape>
        </w:pict>
      </w:r>
      <w:r>
        <w:pict>
          <v:shape id="文本框 38" o:spid="_x0000_s1084" o:spt="202" type="#_x0000_t202" style="position:absolute;left:0pt;margin-left:230.35pt;margin-top:126.55pt;height:27.3pt;width:71.5pt;z-index:251659264;mso-width-relative:page;mso-height-relative:page;" filled="f" stroked="f" coordsize="21600,21600" o:gfxdata="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O4krzY&#10;AAAACwEAAA8AAAAAAAAAAQAgAAAAIgAAAGRycy9kb3ducmV2LnhtbFBLAQIUABQAAAAIAIdO4kA8&#10;uyjNrgEAAE8DAAAOAAAAAAAAAAEAIAAAACcBAABkcnMvZTJvRG9jLnhtbFBLBQYAAAAABgAGAFkB&#10;AABHBQAAAAA=&#10;">
            <v:path/>
            <v:fill on="f" focussize="0,0"/>
            <v:stroke on="f" joinstyle="miter"/>
            <v:imagedata o:title=""/>
            <o:lock v:ext="edit"/>
            <v:textbox>
              <w:txbxContent>
                <w:p>
                  <w:pPr>
                    <w:rPr>
                      <w:b/>
                      <w:bCs/>
                      <w:color w:val="FF0000"/>
                    </w:rPr>
                  </w:pPr>
                  <w:r>
                    <w:rPr>
                      <w:rFonts w:hint="eastAsia"/>
                      <w:b/>
                      <w:bCs/>
                      <w:color w:val="FF0000"/>
                    </w:rPr>
                    <w:t>学生公寓楼</w:t>
                  </w:r>
                </w:p>
              </w:txbxContent>
            </v:textbox>
          </v:shape>
        </w:pict>
      </w:r>
      <w:r>
        <w:pict>
          <v:shape id="文本框 37" o:spid="_x0000_s1083" o:spt="202" type="#_x0000_t202" style="position:absolute;left:0pt;margin-left:286.3pt;margin-top:147.45pt;height:33.65pt;width:71.5pt;z-index:251659264;mso-width-relative:page;mso-height-relative:page;" filled="f" stroked="f" coordsize="21600,21600" o:gfxdata="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enXtDZ&#10;AAAACwEAAA8AAAAAAAAAAQAgAAAAIgAAAGRycy9kb3ducmV2LnhtbFBLAQIUABQAAAAIAIdO4kCR&#10;X/BurQEAAE8DAAAOAAAAAAAAAAEAIAAAACgBAABkcnMvZTJvRG9jLnhtbFBLBQYAAAAABgAGAFkB&#10;AABHBQAAAAA=&#10;">
            <v:path/>
            <v:fill on="f" focussize="0,0"/>
            <v:stroke on="f" joinstyle="miter"/>
            <v:imagedata o:title=""/>
            <o:lock v:ext="edit"/>
            <v:textbox>
              <w:txbxContent>
                <w:p>
                  <w:pPr>
                    <w:jc w:val="center"/>
                    <w:rPr>
                      <w:b/>
                      <w:bCs/>
                      <w:color w:val="FF0000"/>
                    </w:rPr>
                  </w:pPr>
                  <w:r>
                    <w:rPr>
                      <w:rFonts w:hint="eastAsia"/>
                      <w:b/>
                      <w:bCs/>
                      <w:color w:val="FF0000"/>
                    </w:rPr>
                    <w:t>食堂会堂</w:t>
                  </w:r>
                </w:p>
                <w:p>
                  <w:pPr>
                    <w:jc w:val="center"/>
                    <w:rPr>
                      <w:b/>
                      <w:bCs/>
                      <w:color w:val="FF0000"/>
                    </w:rPr>
                  </w:pPr>
                  <w:r>
                    <w:rPr>
                      <w:rFonts w:hint="eastAsia"/>
                      <w:b/>
                      <w:bCs/>
                      <w:color w:val="FF0000"/>
                    </w:rPr>
                    <w:t>综合楼</w:t>
                  </w:r>
                </w:p>
              </w:txbxContent>
            </v:textbox>
          </v:shape>
        </w:pict>
      </w:r>
      <w:r>
        <w:pict>
          <v:shape id="文本框 25" o:spid="_x0000_s1082" o:spt="202" type="#_x0000_t202" style="position:absolute;left:0pt;margin-left:39.85pt;margin-top:399pt;height:23.35pt;width:604.55pt;z-index:251659264;mso-width-relative:page;mso-height-relative:page;" filled="f" stroked="f" coordsize="21600,21600" o:gfxdata="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HCWndkAAAALAQAADwAAAAAAAAABACAAAAAiAAAAZHJzL2Rv&#10;d25yZXYueG1sUEsBAhQAFAAAAAgAh07iQKnMAbbHAQAAhAMAAA4AAAAAAAAAAQAgAAAAKAEAAGRy&#10;cy9lMm9Eb2MueG1sUEsFBgAAAAAGAAYAWQEAAGEFAAAAAA==&#10;">
            <v:path/>
            <v:fill on="f" focussize="0,0"/>
            <v:stroke on="f" joinstyle="miter"/>
            <v:imagedata o:title=""/>
            <o:lock v:ext="edit"/>
            <v:textbox inset="7.19992125984252pt,1.27mm,7.19992125984252pt,1.27mm">
              <w:txbxContent>
                <w:p>
                  <w:pPr>
                    <w:spacing w:line="240" w:lineRule="atLeast"/>
                    <w:jc w:val="center"/>
                    <w:rPr>
                      <w:b/>
                      <w:bCs/>
                      <w:sz w:val="24"/>
                    </w:rPr>
                  </w:pPr>
                  <w:r>
                    <w:rPr>
                      <w:b/>
                      <w:bCs/>
                      <w:sz w:val="24"/>
                    </w:rPr>
                    <w:t>附图</w:t>
                  </w:r>
                  <w:r>
                    <w:rPr>
                      <w:rFonts w:hint="eastAsia"/>
                      <w:b/>
                      <w:bCs/>
                      <w:sz w:val="24"/>
                    </w:rPr>
                    <w:t xml:space="preserve">3  </w:t>
                  </w:r>
                  <w:r>
                    <w:rPr>
                      <w:b/>
                      <w:bCs/>
                      <w:sz w:val="24"/>
                    </w:rPr>
                    <w:t>建设</w:t>
                  </w:r>
                  <w:r>
                    <w:rPr>
                      <w:b/>
                      <w:bCs/>
                      <w:color w:val="000000"/>
                      <w:sz w:val="24"/>
                    </w:rPr>
                    <w:t>项目</w:t>
                  </w:r>
                  <w:r>
                    <w:rPr>
                      <w:rFonts w:hint="eastAsia"/>
                      <w:b/>
                      <w:bCs/>
                      <w:color w:val="000000"/>
                      <w:sz w:val="24"/>
                    </w:rPr>
                    <w:t>总平面布局</w:t>
                  </w:r>
                  <w:r>
                    <w:rPr>
                      <w:b/>
                      <w:bCs/>
                      <w:color w:val="000000"/>
                      <w:sz w:val="24"/>
                    </w:rPr>
                    <w:t>图</w:t>
                  </w:r>
                </w:p>
                <w:p/>
              </w:txbxContent>
            </v:textbox>
          </v:shape>
        </w:pict>
      </w:r>
      <w:r>
        <w:rPr>
          <w:rFonts w:cs="宋体"/>
          <w:sz w:val="21"/>
          <w:szCs w:val="21"/>
        </w:rPr>
        <w:pict>
          <v:shape id="_x0000_i1031" o:spt="75" alt="1-0总平面图改" type="#_x0000_t75" style="height:400.5pt;width:685.5pt;" filled="f" o:preferrelative="t" stroked="f" coordsize="21600,21600">
            <v:path/>
            <v:fill on="f" focussize="0,0"/>
            <v:stroke on="f"/>
            <v:imagedata r:id="rId29" o:title="1-0总平面图改"/>
            <o:lock v:ext="edit" aspectratio="t"/>
            <w10:wrap type="none"/>
            <w10:anchorlock/>
          </v:shape>
        </w:pict>
      </w:r>
    </w:p>
    <w:p>
      <w:pPr>
        <w:pStyle w:val="19"/>
        <w:adjustRightInd w:val="0"/>
        <w:snapToGrid w:val="0"/>
        <w:spacing w:before="0" w:beforeAutospacing="0" w:after="0" w:afterAutospacing="0" w:line="648" w:lineRule="auto"/>
        <w:jc w:val="both"/>
        <w:rPr>
          <w:rFonts w:cs="宋体"/>
          <w:snapToGrid w:val="0"/>
          <w:sz w:val="21"/>
          <w:szCs w:val="21"/>
        </w:rPr>
      </w:pPr>
      <w:r>
        <w:pict>
          <v:shape id="图片 28" o:spid="_x0000_s1094" o:spt="75" alt="指北" type="#_x0000_t75" style="position:absolute;left:0pt;margin-left:624.2pt;margin-top:13.45pt;height:48pt;width:50.25pt;mso-wrap-distance-bottom:0pt;mso-wrap-distance-left:9pt;mso-wrap-distance-right:9pt;mso-wrap-distance-top:0pt;z-index:251659264;mso-width-relative:page;mso-height-relative:page;" filled="f" o:preferrelative="t" stroked="f" coordsize="21600,21600">
            <v:path/>
            <v:fill on="f" focussize="0,0"/>
            <v:stroke on="f"/>
            <v:imagedata r:id="rId21" o:title="指北"/>
            <o:lock v:ext="edit" aspectratio="t"/>
            <w10:wrap type="square"/>
          </v:shape>
        </w:pict>
      </w:r>
      <w:r>
        <w:pict>
          <v:shape id="文本框 27" o:spid="_x0000_s1081" o:spt="202" type="#_x0000_t202" style="position:absolute;left:0pt;margin-left:67.1pt;margin-top:437.1pt;height:23.35pt;width:538.95pt;z-index:251659264;mso-width-relative:page;mso-height-relative:page;" filled="f" stroked="f" coordsize="21600,21600" o:gfxdata="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XX3UPaAAAADAEAAA8AAAAAAAAAAQAgAAAAIgAAAGRycy9k&#10;b3ducmV2LnhtbFBLAQIUABQAAAAIAIdO4kCQ/DJ6xwEAAIQDAAAOAAAAAAAAAAEAIAAAACkBAABk&#10;cnMvZTJvRG9jLnhtbFBLBQYAAAAABgAGAFkBAABiBQAAAAA=&#10;">
            <v:path/>
            <v:fill on="f" focussize="0,0"/>
            <v:stroke on="f" joinstyle="miter"/>
            <v:imagedata o:title=""/>
            <o:lock v:ext="edit"/>
            <v:textbox inset="7.19992125984252pt,1.27mm,7.19992125984252pt,1.27mm">
              <w:txbxContent>
                <w:p>
                  <w:pPr>
                    <w:spacing w:line="240" w:lineRule="atLeast"/>
                    <w:jc w:val="center"/>
                    <w:rPr>
                      <w:b/>
                      <w:bCs/>
                      <w:sz w:val="24"/>
                    </w:rPr>
                  </w:pPr>
                  <w:r>
                    <w:rPr>
                      <w:b/>
                      <w:bCs/>
                      <w:sz w:val="24"/>
                    </w:rPr>
                    <w:t>附图</w:t>
                  </w:r>
                  <w:r>
                    <w:rPr>
                      <w:rFonts w:hint="eastAsia"/>
                      <w:b/>
                      <w:bCs/>
                      <w:sz w:val="24"/>
                    </w:rPr>
                    <w:t xml:space="preserve">4  </w:t>
                  </w:r>
                  <w:r>
                    <w:rPr>
                      <w:b/>
                      <w:bCs/>
                      <w:sz w:val="24"/>
                    </w:rPr>
                    <w:t>建设</w:t>
                  </w:r>
                  <w:r>
                    <w:rPr>
                      <w:b/>
                      <w:bCs/>
                      <w:color w:val="000000"/>
                      <w:sz w:val="24"/>
                    </w:rPr>
                    <w:t>项目</w:t>
                  </w:r>
                  <w:r>
                    <w:rPr>
                      <w:rFonts w:hint="eastAsia"/>
                      <w:b/>
                      <w:bCs/>
                      <w:color w:val="000000"/>
                      <w:sz w:val="24"/>
                    </w:rPr>
                    <w:t>雨污管网</w:t>
                  </w:r>
                  <w:r>
                    <w:rPr>
                      <w:b/>
                      <w:bCs/>
                      <w:color w:val="000000"/>
                      <w:sz w:val="24"/>
                    </w:rPr>
                    <w:t>图</w:t>
                  </w:r>
                </w:p>
                <w:p/>
              </w:txbxContent>
            </v:textbox>
          </v:shape>
        </w:pict>
      </w:r>
      <w:r>
        <w:pict>
          <v:shape id="_x0000_i1032" o:spt="75" type="#_x0000_t75" style="height:440.25pt;width:693pt;" filled="f" o:preferrelative="t" stroked="f" coordsize="21600,21600">
            <v:path/>
            <v:fill on="f" focussize="0,0"/>
            <v:stroke on="f"/>
            <v:imagedata r:id="rId30" o:title=""/>
            <o:lock v:ext="edit" aspectratio="t"/>
            <w10:wrap type="none"/>
            <w10:anchorlock/>
          </v:shape>
        </w:pict>
      </w:r>
    </w:p>
    <w:p>
      <w:pPr>
        <w:pStyle w:val="19"/>
        <w:adjustRightInd w:val="0"/>
        <w:snapToGrid w:val="0"/>
        <w:spacing w:before="0" w:beforeAutospacing="0" w:after="0" w:afterAutospacing="0" w:line="648" w:lineRule="auto"/>
        <w:jc w:val="both"/>
        <w:rPr>
          <w:rFonts w:cs="宋体"/>
          <w:snapToGrid w:val="0"/>
          <w:sz w:val="21"/>
          <w:szCs w:val="21"/>
        </w:rPr>
        <w:sectPr>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jc w:val="both"/>
        <w:outlineLvl w:val="0"/>
        <w:rPr>
          <w:rFonts w:hint="eastAsia" w:ascii="Times New Roman" w:hAnsi="Times New Roman"/>
          <w:b/>
          <w:bCs/>
          <w:kern w:val="2"/>
          <w:sz w:val="32"/>
          <w:szCs w:val="32"/>
        </w:rPr>
      </w:pPr>
      <w:bookmarkStart w:id="18" w:name="_Toc20205"/>
      <w:r>
        <w:rPr>
          <w:sz w:val="24"/>
        </w:rPr>
        <w:pict>
          <v:shape id="_x0000_s1104" o:spid="_x0000_s1104" o:spt="202" type="#_x0000_t202" style="position:absolute;left:0pt;margin-left:-3.35pt;margin-top:31.6pt;height:23.3pt;width:220.75pt;z-index:251661312;mso-width-relative:page;mso-height-relative:page;" filled="f" stroked="f" coordsize="21600,21600">
            <v:path/>
            <v:fill on="f" focussize="0,0"/>
            <v:stroke on="f"/>
            <v:imagedata o:title=""/>
            <o:lock v:ext="edit" aspectratio="f"/>
            <v:textbox>
              <w:txbxContent>
                <w:p>
                  <w:pPr>
                    <w:rPr>
                      <w:rFonts w:hint="default" w:eastAsia="宋体"/>
                      <w:sz w:val="24"/>
                      <w:szCs w:val="24"/>
                      <w:lang w:val="en-US" w:eastAsia="zh-CN"/>
                    </w:rPr>
                  </w:pPr>
                  <w:r>
                    <w:rPr>
                      <w:rFonts w:hint="eastAsia" w:ascii="Times New Roman" w:hAnsi="Times New Roman"/>
                      <w:b/>
                      <w:bCs/>
                      <w:kern w:val="2"/>
                      <w:sz w:val="24"/>
                      <w:szCs w:val="24"/>
                      <w:lang w:val="en-US" w:eastAsia="zh-CN"/>
                    </w:rPr>
                    <w:t>附件1</w:t>
                  </w:r>
                  <w:r>
                    <w:rPr>
                      <w:rFonts w:hint="eastAsia"/>
                      <w:b/>
                      <w:bCs/>
                      <w:kern w:val="2"/>
                      <w:sz w:val="24"/>
                      <w:szCs w:val="24"/>
                      <w:lang w:val="en-US" w:eastAsia="zh-CN"/>
                    </w:rPr>
                    <w:t>建设项目环境影响评价委托书</w:t>
                  </w:r>
                </w:p>
              </w:txbxContent>
            </v:textbox>
          </v:shape>
        </w:pict>
      </w:r>
      <w:r>
        <w:rPr>
          <w:rFonts w:hint="eastAsia" w:ascii="Times New Roman" w:hAnsi="Times New Roman"/>
          <w:b/>
          <w:bCs/>
          <w:kern w:val="2"/>
          <w:sz w:val="32"/>
          <w:szCs w:val="32"/>
        </w:rPr>
        <w:t>附件</w:t>
      </w:r>
      <w:bookmarkEnd w:id="18"/>
    </w:p>
    <w:p>
      <w:pPr>
        <w:pStyle w:val="19"/>
        <w:jc w:val="center"/>
        <w:outlineLvl w:val="0"/>
        <w:rPr>
          <w:rFonts w:ascii="Times New Roman" w:hAnsi="Times New Roman"/>
          <w:b/>
          <w:bCs/>
          <w:kern w:val="2"/>
          <w:sz w:val="32"/>
          <w:szCs w:val="32"/>
        </w:rPr>
      </w:pPr>
      <w:r>
        <w:rPr>
          <w:rFonts w:hint="eastAsia" w:ascii="Times New Roman" w:hAnsi="Times New Roman"/>
          <w:b/>
          <w:bCs/>
          <w:kern w:val="2"/>
          <w:sz w:val="32"/>
          <w:szCs w:val="32"/>
        </w:rPr>
        <w:pict>
          <v:shape id="_x0000_i1033" o:spt="75" alt="C:/Users/lenove/AppData/Local/Temp/picturecompress_20211108141132/output_1.jpgoutput_1" type="#_x0000_t75" style="height:430.5pt;width:592.85pt;rotation:5898240f;" filled="f" o:preferrelative="t" stroked="f" coordsize="21600,21600">
            <v:path/>
            <v:fill on="f" focussize="0,0"/>
            <v:stroke on="f"/>
            <v:imagedata r:id="rId31" cropleft="-44f" o:title=""/>
            <o:lock v:ext="edit" aspectratio="t"/>
            <w10:wrap type="none"/>
            <w10:anchorlock/>
          </v:shape>
        </w:pict>
      </w:r>
      <w:r>
        <w:rPr>
          <w:rFonts w:hint="eastAsia" w:ascii="Times New Roman" w:hAnsi="Times New Roman"/>
          <w:b/>
          <w:bCs/>
          <w:kern w:val="2"/>
          <w:sz w:val="32"/>
          <w:szCs w:val="32"/>
        </w:rPr>
        <w:br w:type="page"/>
      </w:r>
      <w:r>
        <w:rPr>
          <w:sz w:val="24"/>
        </w:rPr>
        <w:pict>
          <v:shape id="_x0000_s1110" o:spid="_x0000_s1110" o:spt="202" type="#_x0000_t202" style="position:absolute;left:0pt;margin-left:-0.85pt;margin-top:0.8pt;height:23.3pt;width:119.15pt;z-index:251662336;mso-width-relative:page;mso-height-relative:page;" filled="f" stroked="f" coordsize="21600,21600">
            <v:path/>
            <v:fill on="f" focussize="0,0"/>
            <v:stroke on="f"/>
            <v:imagedata o:title=""/>
            <o:lock v:ext="edit" aspectratio="f"/>
            <v:textbox>
              <w:txbxContent>
                <w:p>
                  <w:pPr>
                    <w:rPr>
                      <w:sz w:val="24"/>
                      <w:szCs w:val="24"/>
                    </w:rPr>
                  </w:pPr>
                  <w:r>
                    <w:rPr>
                      <w:rFonts w:hint="eastAsia" w:ascii="Times New Roman" w:hAnsi="Times New Roman"/>
                      <w:b/>
                      <w:bCs/>
                      <w:kern w:val="2"/>
                      <w:sz w:val="24"/>
                      <w:szCs w:val="24"/>
                      <w:lang w:val="en-US" w:eastAsia="zh-CN"/>
                    </w:rPr>
                    <w:t>附件</w:t>
                  </w:r>
                  <w:r>
                    <w:rPr>
                      <w:rFonts w:hint="eastAsia"/>
                      <w:b/>
                      <w:bCs/>
                      <w:kern w:val="2"/>
                      <w:sz w:val="24"/>
                      <w:szCs w:val="24"/>
                      <w:lang w:val="en-US" w:eastAsia="zh-CN"/>
                    </w:rPr>
                    <w:t>2</w:t>
                  </w:r>
                  <w:r>
                    <w:rPr>
                      <w:rFonts w:hint="eastAsia" w:ascii="Times New Roman" w:hAnsi="Times New Roman"/>
                      <w:b/>
                      <w:bCs/>
                      <w:kern w:val="2"/>
                      <w:sz w:val="24"/>
                      <w:szCs w:val="24"/>
                    </w:rPr>
                    <w:t>项目备案表</w:t>
                  </w:r>
                </w:p>
              </w:txbxContent>
            </v:textbox>
          </v:shape>
        </w:pict>
      </w:r>
    </w:p>
    <w:p>
      <w:pPr>
        <w:pStyle w:val="19"/>
        <w:jc w:val="both"/>
        <w:rPr>
          <w:rFonts w:hint="eastAsia" w:ascii="Times New Roman" w:hAnsi="Times New Roman" w:eastAsia="宋体"/>
          <w:b/>
          <w:bCs/>
          <w:kern w:val="2"/>
          <w:sz w:val="32"/>
          <w:szCs w:val="32"/>
          <w:lang w:eastAsia="zh-CN"/>
        </w:rPr>
      </w:pPr>
      <w:r>
        <w:rPr>
          <w:rFonts w:hint="eastAsia" w:ascii="Times New Roman" w:hAnsi="Times New Roman" w:eastAsia="宋体"/>
          <w:b/>
          <w:bCs/>
          <w:kern w:val="2"/>
          <w:sz w:val="32"/>
          <w:szCs w:val="32"/>
          <w:lang w:eastAsia="zh-CN"/>
        </w:rPr>
        <w:pict>
          <v:shape id="_x0000_i1034" o:spt="75" alt="项目备案" type="#_x0000_t75" style="height:563.55pt;width:424.45pt;" filled="f" o:preferrelative="t" stroked="f" coordsize="21600,21600">
            <v:path/>
            <v:fill on="f" focussize="0,0"/>
            <v:stroke on="f"/>
            <v:imagedata r:id="rId32" o:title="项目备案"/>
            <o:lock v:ext="edit" aspectratio="t"/>
            <w10:wrap type="none"/>
            <w10:anchorlock/>
          </v:shape>
        </w:pict>
      </w:r>
    </w:p>
    <w:p>
      <w:pPr>
        <w:pStyle w:val="19"/>
        <w:spacing w:before="0" w:beforeAutospacing="0" w:after="0" w:afterAutospacing="0"/>
        <w:jc w:val="center"/>
        <w:outlineLvl w:val="9"/>
        <w:rPr>
          <w:rFonts w:ascii="Times New Roman" w:hAnsi="Times New Roman"/>
          <w:b/>
          <w:bCs/>
          <w:kern w:val="2"/>
          <w:szCs w:val="24"/>
        </w:rPr>
        <w:sectPr>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ascii="黑体" w:hAnsi="黑体" w:eastAsia="黑体"/>
          <w:sz w:val="32"/>
          <w:szCs w:val="32"/>
        </w:rPr>
      </w:pPr>
      <w:r>
        <w:rPr>
          <w:rFonts w:hint="eastAsia" w:ascii="Times New Roman" w:hAnsi="Times New Roman"/>
          <w:b/>
          <w:bCs/>
          <w:szCs w:val="24"/>
          <w:lang w:val="en-US" w:eastAsia="zh-CN"/>
        </w:rPr>
        <w:t>附件3</w:t>
      </w:r>
      <w:r>
        <w:rPr>
          <w:rFonts w:hint="eastAsia" w:ascii="Times New Roman" w:hAnsi="Times New Roman"/>
          <w:b/>
          <w:bCs/>
          <w:szCs w:val="24"/>
        </w:rPr>
        <w:t>建设项目环境影响</w:t>
      </w:r>
      <w:r>
        <w:rPr>
          <w:rFonts w:hint="eastAsia" w:cs="宋体"/>
          <w:b/>
          <w:bCs/>
          <w:color w:val="000000"/>
          <w:szCs w:val="24"/>
        </w:rPr>
        <w:t>报告表编制情况承诺书</w:t>
      </w:r>
    </w:p>
    <w:p>
      <w:pPr>
        <w:pStyle w:val="19"/>
        <w:jc w:val="both"/>
        <w:rPr>
          <w:rFonts w:ascii="黑体" w:hAnsi="黑体" w:eastAsia="黑体"/>
          <w:snapToGrid w:val="0"/>
          <w:sz w:val="32"/>
          <w:szCs w:val="32"/>
        </w:rPr>
      </w:pPr>
      <w:r>
        <w:rPr>
          <w:rFonts w:ascii="黑体" w:hAnsi="黑体" w:eastAsia="黑体"/>
          <w:sz w:val="32"/>
          <w:szCs w:val="32"/>
        </w:rPr>
        <w:pict>
          <v:shape id="_x0000_i1035" o:spt="75" alt="承诺书" type="#_x0000_t75" style="height:420pt;width:597.75pt;rotation:-5898240f;" filled="f" o:preferrelative="t" stroked="f" coordsize="21600,21600">
            <v:path/>
            <v:fill on="f" focussize="0,0"/>
            <v:stroke on="f"/>
            <v:imagedata r:id="rId33" o:title="承诺书"/>
            <o:lock v:ext="edit" aspectratio="t"/>
            <w10:wrap type="none"/>
            <w10:anchorlock/>
          </v:shape>
        </w:pict>
      </w:r>
    </w:p>
    <w:p>
      <w:pPr>
        <w:pStyle w:val="19"/>
        <w:jc w:val="center"/>
        <w:outlineLvl w:val="9"/>
        <w:rPr>
          <w:rFonts w:ascii="黑体" w:hAnsi="黑体" w:eastAsia="黑体"/>
          <w:b/>
          <w:bCs/>
          <w:snapToGrid w:val="0"/>
          <w:sz w:val="32"/>
          <w:szCs w:val="32"/>
        </w:rPr>
        <w:sectPr>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jc w:val="left"/>
        <w:rPr>
          <w:rFonts w:cs="宋体"/>
          <w:b/>
          <w:sz w:val="21"/>
          <w:szCs w:val="21"/>
        </w:rPr>
      </w:pPr>
      <w:r>
        <w:rPr>
          <w:rFonts w:hint="eastAsia" w:cs="宋体"/>
          <w:b/>
          <w:sz w:val="24"/>
          <w:szCs w:val="24"/>
          <w:lang w:val="en-US" w:eastAsia="zh-CN"/>
        </w:rPr>
        <w:t>附件4</w:t>
      </w:r>
      <w:r>
        <w:rPr>
          <w:rFonts w:hint="eastAsia" w:cs="宋体"/>
          <w:b/>
          <w:bCs/>
          <w:snapToGrid w:val="0"/>
          <w:sz w:val="24"/>
          <w:szCs w:val="24"/>
        </w:rPr>
        <w:t>建设规划设计方案的批复</w:t>
      </w:r>
    </w:p>
    <w:p>
      <w:pPr>
        <w:pStyle w:val="19"/>
        <w:adjustRightInd w:val="0"/>
        <w:snapToGrid w:val="0"/>
        <w:spacing w:before="0" w:beforeAutospacing="0" w:after="0" w:afterAutospacing="0"/>
        <w:jc w:val="center"/>
        <w:rPr>
          <w:rFonts w:hint="eastAsia" w:ascii="黑体" w:hAnsi="黑体" w:eastAsia="黑体"/>
          <w:snapToGrid w:val="0"/>
          <w:sz w:val="32"/>
          <w:szCs w:val="32"/>
        </w:rPr>
      </w:pPr>
      <w:r>
        <w:rPr>
          <w:rFonts w:cs="宋体"/>
          <w:b/>
          <w:sz w:val="21"/>
          <w:szCs w:val="21"/>
        </w:rPr>
        <w:pict>
          <v:shape id="_x0000_i1036" o:spt="75" alt="45951877afb17d23a6c9bce2f21c06d" type="#_x0000_t75" style="height:567pt;width:424.5pt;" filled="f" o:preferrelative="t" stroked="f" coordsize="21600,21600">
            <v:path/>
            <v:fill on="f" focussize="0,0"/>
            <v:stroke on="f"/>
            <v:imagedata r:id="rId34" o:title="45951877afb17d23a6c9bce2f21c06d"/>
            <o:lock v:ext="edit" aspectratio="t"/>
            <w10:wrap type="none"/>
            <w10:anchorlock/>
          </v:shape>
        </w:pict>
      </w:r>
      <w:r>
        <w:rPr>
          <w:rFonts w:hint="eastAsia" w:ascii="黑体" w:hAnsi="黑体" w:eastAsia="黑体"/>
          <w:snapToGrid w:val="0"/>
          <w:sz w:val="32"/>
          <w:szCs w:val="32"/>
        </w:rPr>
        <w:br w:type="page"/>
      </w:r>
    </w:p>
    <w:p>
      <w:pPr>
        <w:pStyle w:val="19"/>
        <w:adjustRightInd w:val="0"/>
        <w:snapToGrid w:val="0"/>
        <w:spacing w:before="0" w:beforeAutospacing="0" w:after="0" w:afterAutospacing="0"/>
        <w:jc w:val="center"/>
        <w:rPr>
          <w:rFonts w:ascii="黑体" w:hAnsi="黑体" w:eastAsia="黑体"/>
          <w:snapToGrid w:val="0"/>
          <w:sz w:val="32"/>
          <w:szCs w:val="32"/>
        </w:rPr>
      </w:pPr>
      <w:r>
        <w:rPr>
          <w:rFonts w:ascii="黑体" w:hAnsi="黑体" w:eastAsia="黑体"/>
          <w:sz w:val="32"/>
          <w:szCs w:val="32"/>
        </w:rPr>
        <w:pict>
          <v:shape id="_x0000_i1037" o:spt="75" alt="f5811237098bd3cfc9dadd4264de23a" type="#_x0000_t75" style="height:593.25pt;width:424.5pt;" filled="f" o:preferrelative="t" stroked="f" coordsize="21600,21600">
            <v:path/>
            <v:fill on="f" focussize="0,0"/>
            <v:stroke on="f"/>
            <v:imagedata r:id="rId35" o:title="f5811237098bd3cfc9dadd4264de23a"/>
            <o:lock v:ext="edit" aspectratio="t"/>
            <w10:wrap type="none"/>
            <w10:anchorlock/>
          </v:shape>
        </w:pict>
      </w:r>
    </w:p>
    <w:p>
      <w:pPr>
        <w:pStyle w:val="19"/>
        <w:adjustRightInd w:val="0"/>
        <w:snapToGrid w:val="0"/>
        <w:spacing w:before="0" w:beforeAutospacing="0" w:after="0" w:afterAutospacing="0"/>
        <w:jc w:val="left"/>
        <w:rPr>
          <w:rFonts w:hint="eastAsia"/>
          <w:b/>
          <w:bCs/>
          <w:sz w:val="24"/>
          <w:szCs w:val="24"/>
          <w:lang w:val="en-US" w:eastAsia="zh-CN"/>
        </w:rPr>
      </w:pPr>
    </w:p>
    <w:p>
      <w:pPr>
        <w:pStyle w:val="19"/>
        <w:adjustRightInd w:val="0"/>
        <w:snapToGrid w:val="0"/>
        <w:spacing w:before="0" w:beforeAutospacing="0" w:after="0" w:afterAutospacing="0"/>
        <w:jc w:val="left"/>
        <w:rPr>
          <w:rFonts w:hint="eastAsia"/>
          <w:b/>
          <w:bCs/>
          <w:sz w:val="24"/>
          <w:szCs w:val="24"/>
          <w:lang w:val="en-US" w:eastAsia="zh-CN"/>
        </w:rPr>
      </w:pPr>
    </w:p>
    <w:p>
      <w:pPr>
        <w:pStyle w:val="19"/>
        <w:adjustRightInd w:val="0"/>
        <w:snapToGrid w:val="0"/>
        <w:spacing w:before="0" w:beforeAutospacing="0" w:after="0" w:afterAutospacing="0"/>
        <w:jc w:val="left"/>
        <w:rPr>
          <w:rFonts w:hint="eastAsia"/>
          <w:b/>
          <w:bCs/>
          <w:sz w:val="24"/>
          <w:szCs w:val="24"/>
          <w:lang w:val="en-US" w:eastAsia="zh-CN"/>
        </w:rPr>
      </w:pPr>
    </w:p>
    <w:p>
      <w:pPr>
        <w:pStyle w:val="19"/>
        <w:adjustRightInd w:val="0"/>
        <w:snapToGrid w:val="0"/>
        <w:spacing w:before="0" w:beforeAutospacing="0" w:after="0" w:afterAutospacing="0"/>
        <w:jc w:val="left"/>
        <w:rPr>
          <w:rFonts w:hint="eastAsia"/>
          <w:b/>
          <w:bCs/>
          <w:sz w:val="24"/>
          <w:szCs w:val="24"/>
          <w:lang w:val="en-US" w:eastAsia="zh-CN"/>
        </w:rPr>
      </w:pPr>
    </w:p>
    <w:p>
      <w:pPr>
        <w:pStyle w:val="19"/>
        <w:adjustRightInd w:val="0"/>
        <w:snapToGrid w:val="0"/>
        <w:spacing w:before="0" w:beforeAutospacing="0" w:after="0" w:afterAutospacing="0"/>
        <w:jc w:val="left"/>
      </w:pPr>
      <w:r>
        <w:rPr>
          <w:rFonts w:hint="eastAsia"/>
          <w:b/>
          <w:bCs/>
          <w:sz w:val="24"/>
          <w:szCs w:val="24"/>
          <w:lang w:val="en-US" w:eastAsia="zh-CN"/>
        </w:rPr>
        <w:t>附件5监测报告</w:t>
      </w:r>
    </w:p>
    <w:p>
      <w:pPr>
        <w:pStyle w:val="19"/>
        <w:adjustRightInd w:val="0"/>
        <w:snapToGrid w:val="0"/>
        <w:spacing w:before="0" w:beforeAutospacing="0" w:after="0" w:afterAutospacing="0"/>
        <w:jc w:val="center"/>
      </w:pPr>
      <w:r>
        <w:pict>
          <v:shape id="_x0000_i1038" o:spt="75" type="#_x0000_t75" style="height:602.25pt;width:425.25pt;" filled="f" o:preferrelative="t" stroked="f" coordsize="21600,21600">
            <v:path/>
            <v:fill on="f" focussize="0,0"/>
            <v:stroke on="f"/>
            <v:imagedata r:id="rId36" o:title=""/>
            <o:lock v:ext="edit" aspectratio="t"/>
            <w10:wrap type="none"/>
            <w10:anchorlock/>
          </v:shape>
        </w:pict>
      </w:r>
    </w:p>
    <w:p>
      <w:pPr>
        <w:pStyle w:val="19"/>
        <w:adjustRightInd w:val="0"/>
        <w:snapToGrid w:val="0"/>
        <w:spacing w:before="0" w:beforeAutospacing="0" w:after="0" w:afterAutospacing="0"/>
        <w:jc w:val="both"/>
      </w:pPr>
      <w:r>
        <w:rPr>
          <w:rFonts w:hint="eastAsia"/>
        </w:rPr>
        <w:br w:type="page"/>
      </w:r>
      <w:r>
        <w:pict>
          <v:shape id="_x0000_i1039" o:spt="75" type="#_x0000_t75" style="height:575.25pt;width:425.25pt;" filled="f" o:preferrelative="t" stroked="f" coordsize="21600,21600">
            <v:path/>
            <v:fill on="f" focussize="0,0"/>
            <v:stroke on="f"/>
            <v:imagedata r:id="rId37" o:title=""/>
            <o:lock v:ext="edit" aspectratio="t"/>
            <w10:wrap type="none"/>
            <w10:anchorlock/>
          </v:shape>
        </w:pict>
      </w:r>
    </w:p>
    <w:p>
      <w:pPr>
        <w:pStyle w:val="19"/>
        <w:adjustRightInd w:val="0"/>
        <w:snapToGrid w:val="0"/>
        <w:spacing w:before="0" w:beforeAutospacing="0" w:after="0" w:afterAutospacing="0"/>
        <w:jc w:val="both"/>
      </w:pPr>
      <w:r>
        <w:br w:type="page"/>
      </w:r>
      <w:r>
        <w:pict>
          <v:shape id="_x0000_i1040" o:spt="75" type="#_x0000_t75" style="height:599.25pt;width:425.25pt;" filled="f" o:preferrelative="t" stroked="f" coordsize="21600,21600">
            <v:path/>
            <v:fill on="f" focussize="0,0"/>
            <v:stroke on="f"/>
            <v:imagedata r:id="rId38" o:title=""/>
            <o:lock v:ext="edit" aspectratio="t"/>
            <w10:wrap type="none"/>
            <w10:anchorlock/>
          </v:shape>
        </w:pict>
      </w:r>
    </w:p>
    <w:p>
      <w:pPr>
        <w:pStyle w:val="19"/>
        <w:adjustRightInd w:val="0"/>
        <w:snapToGrid w:val="0"/>
        <w:spacing w:before="0" w:beforeAutospacing="0" w:after="0" w:afterAutospacing="0"/>
        <w:jc w:val="both"/>
      </w:pPr>
      <w:r>
        <w:br w:type="page"/>
      </w:r>
      <w:r>
        <w:pict>
          <v:shape id="_x0000_i1041" o:spt="75" type="#_x0000_t75" style="height:597pt;width:425.25pt;" filled="f" o:preferrelative="t" stroked="f" coordsize="21600,21600">
            <v:path/>
            <v:fill on="f" focussize="0,0"/>
            <v:stroke on="f"/>
            <v:imagedata r:id="rId39" o:title=""/>
            <o:lock v:ext="edit" aspectratio="t"/>
            <w10:wrap type="none"/>
            <w10:anchorlock/>
          </v:shape>
        </w:pict>
      </w:r>
    </w:p>
    <w:p>
      <w:pPr>
        <w:pStyle w:val="19"/>
        <w:adjustRightInd w:val="0"/>
        <w:snapToGrid w:val="0"/>
        <w:spacing w:before="0" w:beforeAutospacing="0" w:after="0" w:afterAutospacing="0"/>
        <w:jc w:val="both"/>
      </w:pPr>
      <w:r>
        <w:br w:type="page"/>
      </w:r>
      <w:r>
        <w:pict>
          <v:shape id="_x0000_i1042" o:spt="75" type="#_x0000_t75" style="height:610.5pt;width:425.25pt;" filled="f" o:preferrelative="t" stroked="f" coordsize="21600,21600">
            <v:path/>
            <v:fill on="f" focussize="0,0"/>
            <v:stroke on="f"/>
            <v:imagedata r:id="rId40" o:title=""/>
            <o:lock v:ext="edit" aspectratio="t"/>
            <w10:wrap type="none"/>
            <w10:anchorlock/>
          </v:shape>
        </w:pict>
      </w:r>
    </w:p>
    <w:p>
      <w:pPr>
        <w:pStyle w:val="19"/>
        <w:adjustRightInd w:val="0"/>
        <w:snapToGrid w:val="0"/>
        <w:spacing w:before="0" w:beforeAutospacing="0" w:after="0" w:afterAutospacing="0"/>
        <w:jc w:val="both"/>
      </w:pPr>
    </w:p>
    <w:p>
      <w:pPr>
        <w:pStyle w:val="19"/>
        <w:adjustRightInd w:val="0"/>
        <w:snapToGrid w:val="0"/>
        <w:spacing w:before="0" w:beforeAutospacing="0" w:after="0" w:afterAutospacing="0"/>
        <w:jc w:val="both"/>
      </w:pPr>
    </w:p>
    <w:p>
      <w:pPr>
        <w:pStyle w:val="19"/>
        <w:adjustRightInd w:val="0"/>
        <w:snapToGrid w:val="0"/>
        <w:spacing w:before="0" w:beforeAutospacing="0" w:after="0" w:afterAutospacing="0"/>
        <w:jc w:val="both"/>
      </w:pPr>
    </w:p>
    <w:p>
      <w:pPr>
        <w:pStyle w:val="19"/>
        <w:adjustRightInd w:val="0"/>
        <w:snapToGrid w:val="0"/>
        <w:spacing w:before="0" w:beforeAutospacing="0" w:after="0" w:afterAutospacing="0"/>
        <w:jc w:val="both"/>
      </w:pPr>
    </w:p>
    <w:p>
      <w:pPr>
        <w:pStyle w:val="19"/>
        <w:adjustRightInd w:val="0"/>
        <w:snapToGrid w:val="0"/>
        <w:spacing w:before="0" w:beforeAutospacing="0" w:after="0" w:afterAutospacing="0"/>
        <w:jc w:val="both"/>
      </w:pPr>
    </w:p>
    <w:p>
      <w:pPr>
        <w:pStyle w:val="19"/>
        <w:adjustRightInd w:val="0"/>
        <w:snapToGrid w:val="0"/>
        <w:spacing w:before="0" w:beforeAutospacing="0" w:after="0" w:afterAutospacing="0"/>
        <w:jc w:val="left"/>
        <w:rPr>
          <w:b/>
          <w:bCs/>
        </w:rPr>
      </w:pPr>
      <w:r>
        <w:rPr>
          <w:rFonts w:hint="eastAsia"/>
          <w:b/>
          <w:bCs/>
          <w:lang w:val="en-US" w:eastAsia="zh-CN"/>
        </w:rPr>
        <w:t>附件6</w:t>
      </w:r>
      <w:r>
        <w:rPr>
          <w:rFonts w:hint="eastAsia"/>
          <w:b/>
          <w:bCs/>
        </w:rPr>
        <w:t>执行标准确认函</w:t>
      </w:r>
    </w:p>
    <w:p>
      <w:pPr>
        <w:pStyle w:val="19"/>
        <w:adjustRightInd w:val="0"/>
        <w:snapToGrid w:val="0"/>
        <w:spacing w:before="0" w:beforeAutospacing="0" w:after="0" w:afterAutospacing="0"/>
        <w:jc w:val="both"/>
        <w:rPr>
          <w:rFonts w:hint="eastAsia" w:eastAsia="宋体"/>
          <w:lang w:eastAsia="zh-CN"/>
        </w:rPr>
      </w:pPr>
      <w:r>
        <w:rPr>
          <w:rFonts w:hint="eastAsia" w:eastAsia="宋体"/>
          <w:lang w:eastAsia="zh-CN"/>
        </w:rPr>
        <w:pict>
          <v:shape id="_x0000_i1043" o:spt="75" alt="C:/Users/lenove/AppData/Local/Temp/picturecompress_20211029165008/output_1.jpgoutput_1" type="#_x0000_t75" style="height:573.7pt;width:423.9pt;" filled="f" o:preferrelative="t" stroked="f" coordsize="21600,21600">
            <v:path/>
            <v:fill on="f" focussize="0,0"/>
            <v:stroke on="f"/>
            <v:imagedata r:id="rId41" o:title="output_1"/>
            <o:lock v:ext="edit" aspectratio="t"/>
            <w10:wrap type="none"/>
            <w10:anchorlock/>
          </v:shape>
        </w:pict>
      </w:r>
    </w:p>
    <w:p>
      <w:pPr>
        <w:pStyle w:val="19"/>
        <w:adjustRightInd w:val="0"/>
        <w:snapToGrid w:val="0"/>
        <w:spacing w:before="0" w:beforeAutospacing="0" w:after="0" w:afterAutospacing="0"/>
        <w:jc w:val="center"/>
        <w:rPr>
          <w:rFonts w:hint="eastAsia" w:eastAsia="宋体"/>
          <w:b/>
          <w:bCs/>
          <w:lang w:eastAsia="zh-CN"/>
        </w:rPr>
      </w:pPr>
      <w:r>
        <w:rPr>
          <w:rFonts w:hint="eastAsia"/>
          <w:b/>
          <w:bCs/>
        </w:rPr>
        <w:br w:type="page"/>
      </w:r>
      <w:r>
        <w:rPr>
          <w:rFonts w:hint="eastAsia" w:eastAsia="宋体"/>
          <w:b/>
          <w:bCs/>
          <w:lang w:eastAsia="zh-CN"/>
        </w:rPr>
        <w:pict>
          <v:shape id="_x0000_i1044" o:spt="75" alt="标准确认函2" type="#_x0000_t75" style="height:609.9pt;width:425.3pt;" filled="f" o:preferrelative="t" stroked="f" coordsize="21600,21600">
            <v:path/>
            <v:fill on="f" focussize="0,0"/>
            <v:stroke on="f"/>
            <v:imagedata r:id="rId42" o:title="标准确认函2"/>
            <o:lock v:ext="edit" aspectratio="t"/>
            <w10:wrap type="none"/>
            <w10:anchorlock/>
          </v:shape>
        </w:pict>
      </w:r>
    </w:p>
    <w:p>
      <w:pPr>
        <w:pStyle w:val="19"/>
        <w:adjustRightInd w:val="0"/>
        <w:snapToGrid w:val="0"/>
        <w:spacing w:before="0" w:beforeAutospacing="0" w:after="0" w:afterAutospacing="0"/>
        <w:jc w:val="left"/>
        <w:rPr>
          <w:b/>
          <w:bCs/>
        </w:rPr>
      </w:pPr>
      <w:r>
        <w:rPr>
          <w:b/>
          <w:bCs/>
        </w:rPr>
        <w:br w:type="page"/>
      </w:r>
      <w:r>
        <w:rPr>
          <w:rFonts w:hint="eastAsia"/>
          <w:b/>
          <w:bCs/>
          <w:lang w:val="en-US" w:eastAsia="zh-CN"/>
        </w:rPr>
        <w:t>附件7</w:t>
      </w:r>
      <w:r>
        <w:rPr>
          <w:rFonts w:hint="eastAsia"/>
          <w:b/>
          <w:bCs/>
        </w:rPr>
        <w:t>污水处理协议</w:t>
      </w:r>
    </w:p>
    <w:p>
      <w:pPr>
        <w:pStyle w:val="19"/>
        <w:adjustRightInd w:val="0"/>
        <w:snapToGrid w:val="0"/>
        <w:spacing w:before="0" w:beforeAutospacing="0" w:after="0" w:afterAutospacing="0"/>
        <w:jc w:val="center"/>
      </w:pPr>
      <w:r>
        <w:pict>
          <v:shape id="_x0000_i1045" o:spt="75" type="#_x0000_t75" style="height:610.5pt;width:425.25pt;" filled="f" o:preferrelative="t" stroked="f" coordsize="21600,21600">
            <v:path/>
            <v:fill on="f" focussize="0,0"/>
            <v:stroke on="f"/>
            <v:imagedata r:id="rId43" o:title=""/>
            <o:lock v:ext="edit" aspectratio="t"/>
            <w10:wrap type="none"/>
            <w10:anchorlock/>
          </v:shape>
        </w:pict>
      </w:r>
    </w:p>
    <w:p>
      <w:pPr>
        <w:pStyle w:val="19"/>
        <w:adjustRightInd w:val="0"/>
        <w:snapToGrid w:val="0"/>
        <w:spacing w:before="0" w:beforeAutospacing="0" w:after="0" w:afterAutospacing="0"/>
        <w:jc w:val="center"/>
      </w:pPr>
      <w:r>
        <w:rPr>
          <w:rFonts w:hint="eastAsia"/>
          <w:b/>
          <w:bCs/>
        </w:rPr>
        <w:br w:type="page"/>
      </w:r>
      <w:r>
        <w:pict>
          <v:shape id="_x0000_i1046" o:spt="75" type="#_x0000_t75" style="height:583.5pt;width:425.25pt;" filled="f" o:preferrelative="t" stroked="f" coordsize="21600,21600">
            <v:path/>
            <v:fill on="f" focussize="0,0"/>
            <v:stroke on="f"/>
            <v:imagedata r:id="rId44" o:title=""/>
            <o:lock v:ext="edit" aspectratio="t"/>
            <w10:wrap type="none"/>
            <w10:anchorlock/>
          </v:shape>
        </w:pict>
      </w:r>
    </w:p>
    <w:p>
      <w:pPr>
        <w:pStyle w:val="19"/>
        <w:adjustRightInd w:val="0"/>
        <w:snapToGrid w:val="0"/>
        <w:spacing w:before="0" w:beforeAutospacing="0" w:after="0" w:afterAutospacing="0"/>
        <w:jc w:val="center"/>
        <w:rPr>
          <w:b/>
          <w:bCs/>
        </w:rPr>
        <w:sectPr>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br w:type="page"/>
      </w:r>
      <w:r>
        <w:pict>
          <v:shape id="_x0000_i1047" o:spt="75" type="#_x0000_t75" style="height:600.75pt;width:425.25pt;" filled="f" o:preferrelative="t" stroked="f" coordsize="21600,21600">
            <v:path/>
            <v:fill on="f" focussize="0,0"/>
            <v:stroke on="f"/>
            <v:imagedata r:id="rId45" o:title=""/>
            <o:lock v:ext="edit" aspectratio="t"/>
            <w10:wrap type="none"/>
            <w10:anchorlock/>
          </v:shape>
        </w:pict>
      </w:r>
    </w:p>
    <w:p>
      <w:pPr>
        <w:pStyle w:val="19"/>
        <w:adjustRightInd w:val="0"/>
        <w:snapToGrid w:val="0"/>
        <w:spacing w:before="0" w:beforeAutospacing="0" w:after="0" w:afterAutospacing="0"/>
        <w:jc w:val="both"/>
        <w:outlineLvl w:val="0"/>
        <w:rPr>
          <w:rFonts w:ascii="黑体" w:hAnsi="黑体" w:eastAsia="黑体"/>
          <w:snapToGrid w:val="0"/>
          <w:sz w:val="32"/>
          <w:szCs w:val="32"/>
        </w:rPr>
      </w:pPr>
      <w:bookmarkStart w:id="19" w:name="_Toc16313"/>
      <w:r>
        <w:rPr>
          <w:rFonts w:hint="eastAsia" w:ascii="黑体" w:hAnsi="黑体" w:eastAsia="黑体"/>
          <w:snapToGrid w:val="0"/>
          <w:sz w:val="32"/>
          <w:szCs w:val="32"/>
        </w:rPr>
        <w:t>附表</w:t>
      </w:r>
      <w:bookmarkEnd w:id="19"/>
    </w:p>
    <w:p>
      <w:pPr>
        <w:pStyle w:val="19"/>
        <w:adjustRightInd w:val="0"/>
        <w:snapToGrid w:val="0"/>
        <w:spacing w:before="0" w:beforeAutospacing="0" w:after="0" w:afterAutospacing="0"/>
        <w:jc w:val="center"/>
        <w:outlineLvl w:val="0"/>
        <w:rPr>
          <w:rFonts w:ascii="Times New Roman" w:hAnsi="Times New Roman"/>
          <w:snapToGrid w:val="0"/>
          <w:sz w:val="21"/>
          <w:szCs w:val="21"/>
        </w:rPr>
      </w:pPr>
      <w:bookmarkStart w:id="20" w:name="_Toc7817"/>
      <w:r>
        <w:rPr>
          <w:rFonts w:hint="eastAsia" w:ascii="方正小标宋_GBK" w:hAnsi="黑体" w:eastAsia="方正小标宋_GBK"/>
          <w:snapToGrid w:val="0"/>
          <w:sz w:val="38"/>
          <w:szCs w:val="38"/>
        </w:rPr>
        <w:t>建设项目污染物排放量汇总表</w:t>
      </w:r>
      <w:r>
        <w:rPr>
          <w:rFonts w:ascii="Times New Roman" w:hAnsi="Times New Roman"/>
          <w:b/>
          <w:bCs/>
          <w:sz w:val="21"/>
          <w:szCs w:val="21"/>
        </w:rPr>
        <w:t>单位：t/a</w:t>
      </w:r>
      <w:bookmarkEnd w:id="20"/>
    </w:p>
    <w:tbl>
      <w:tblPr>
        <w:tblStyle w:val="21"/>
        <w:tblpPr w:leftFromText="180" w:rightFromText="180" w:vertAnchor="text" w:horzAnchor="page" w:tblpX="1556" w:tblpY="531"/>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843"/>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5"/>
              <w:spacing w:beforeLines="0" w:afterLines="0" w:line="240" w:lineRule="auto"/>
              <w:jc w:val="right"/>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项目</w:t>
            </w:r>
          </w:p>
          <w:p>
            <w:pPr>
              <w:pStyle w:val="45"/>
              <w:spacing w:beforeLines="0" w:afterLines="0" w:line="240" w:lineRule="auto"/>
              <w:jc w:val="left"/>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分类</w:t>
            </w:r>
          </w:p>
        </w:tc>
        <w:tc>
          <w:tcPr>
            <w:tcW w:w="1417"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污染物名称</w:t>
            </w:r>
          </w:p>
        </w:tc>
        <w:tc>
          <w:tcPr>
            <w:tcW w:w="1701"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1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kern w:val="2"/>
                <w:szCs w:val="21"/>
                <w:lang w:val="en-US" w:eastAsia="zh-CN"/>
              </w:rPr>
              <w:t>①</w:t>
            </w:r>
            <w:r>
              <w:rPr>
                <w:rFonts w:ascii="Times New Roman" w:eastAsia="黑体"/>
                <w:snapToGrid w:val="0"/>
                <w:color w:val="000000"/>
                <w:spacing w:val="-6"/>
                <w:kern w:val="21"/>
                <w:szCs w:val="21"/>
                <w:lang w:val="en-US" w:eastAsia="zh-CN"/>
              </w:rPr>
              <w:fldChar w:fldCharType="end"/>
            </w:r>
          </w:p>
        </w:tc>
        <w:tc>
          <w:tcPr>
            <w:tcW w:w="1276"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许可排放量</w:t>
            </w:r>
          </w:p>
          <w:p>
            <w:pPr>
              <w:pStyle w:val="45"/>
              <w:spacing w:beforeLines="0" w:afterLines="0"/>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2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snapToGrid w:val="0"/>
                <w:color w:val="000000"/>
                <w:spacing w:val="-6"/>
                <w:kern w:val="21"/>
                <w:szCs w:val="21"/>
                <w:lang w:val="en-US" w:eastAsia="zh-CN"/>
              </w:rPr>
              <w:t>②</w:t>
            </w:r>
            <w:r>
              <w:rPr>
                <w:rFonts w:ascii="Times New Roman" w:eastAsia="黑体"/>
                <w:snapToGrid w:val="0"/>
                <w:color w:val="000000"/>
                <w:spacing w:val="-6"/>
                <w:kern w:val="21"/>
                <w:szCs w:val="21"/>
                <w:lang w:val="en-US" w:eastAsia="zh-CN"/>
              </w:rPr>
              <w:fldChar w:fldCharType="end"/>
            </w:r>
          </w:p>
        </w:tc>
        <w:tc>
          <w:tcPr>
            <w:tcW w:w="1701"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在建工程</w:t>
            </w:r>
          </w:p>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3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kern w:val="2"/>
                <w:szCs w:val="21"/>
                <w:lang w:val="en-US" w:eastAsia="zh-CN"/>
              </w:rPr>
              <w:t>③</w:t>
            </w:r>
            <w:r>
              <w:rPr>
                <w:rFonts w:ascii="Times New Roman" w:eastAsia="黑体"/>
                <w:snapToGrid w:val="0"/>
                <w:color w:val="000000"/>
                <w:spacing w:val="-6"/>
                <w:kern w:val="21"/>
                <w:szCs w:val="21"/>
                <w:lang w:val="en-US" w:eastAsia="zh-CN"/>
              </w:rPr>
              <w:fldChar w:fldCharType="end"/>
            </w:r>
          </w:p>
        </w:tc>
        <w:tc>
          <w:tcPr>
            <w:tcW w:w="1559"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本项目</w:t>
            </w:r>
          </w:p>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4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kern w:val="2"/>
                <w:szCs w:val="21"/>
                <w:lang w:val="en-US" w:eastAsia="zh-CN"/>
              </w:rPr>
              <w:t>④</w:t>
            </w:r>
            <w:r>
              <w:rPr>
                <w:rFonts w:ascii="Times New Roman" w:eastAsia="黑体"/>
                <w:snapToGrid w:val="0"/>
                <w:color w:val="000000"/>
                <w:spacing w:val="-6"/>
                <w:kern w:val="21"/>
                <w:szCs w:val="21"/>
                <w:lang w:val="en-US" w:eastAsia="zh-CN"/>
              </w:rPr>
              <w:fldChar w:fldCharType="end"/>
            </w:r>
          </w:p>
        </w:tc>
        <w:tc>
          <w:tcPr>
            <w:tcW w:w="1559" w:type="dxa"/>
            <w:tcMar>
              <w:left w:w="28" w:type="dxa"/>
              <w:right w:w="28" w:type="dxa"/>
            </w:tcMar>
            <w:vAlign w:val="center"/>
          </w:tcPr>
          <w:p>
            <w:pPr>
              <w:pStyle w:val="45"/>
              <w:spacing w:beforeLines="0" w:afterLines="0"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以新带老削减量</w:t>
            </w:r>
          </w:p>
          <w:p>
            <w:pPr>
              <w:pStyle w:val="45"/>
              <w:spacing w:beforeLines="0" w:afterLines="0"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（新建项目不填）</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5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kern w:val="2"/>
                <w:szCs w:val="21"/>
                <w:lang w:val="en-US" w:eastAsia="zh-CN"/>
              </w:rPr>
              <w:t>⑤</w:t>
            </w:r>
            <w:r>
              <w:rPr>
                <w:rFonts w:ascii="Times New Roman" w:eastAsia="黑体"/>
                <w:snapToGrid w:val="0"/>
                <w:color w:val="000000"/>
                <w:spacing w:val="-16"/>
                <w:kern w:val="21"/>
                <w:szCs w:val="21"/>
                <w:lang w:val="en-US" w:eastAsia="zh-CN"/>
              </w:rPr>
              <w:fldChar w:fldCharType="end"/>
            </w:r>
          </w:p>
        </w:tc>
        <w:tc>
          <w:tcPr>
            <w:tcW w:w="1843" w:type="dxa"/>
            <w:tcMar>
              <w:left w:w="28" w:type="dxa"/>
              <w:right w:w="28" w:type="dxa"/>
            </w:tcMar>
            <w:vAlign w:val="center"/>
          </w:tcPr>
          <w:p>
            <w:pPr>
              <w:pStyle w:val="45"/>
              <w:spacing w:beforeLines="0" w:afterLines="0"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本项目建成后</w:t>
            </w:r>
          </w:p>
          <w:p>
            <w:pPr>
              <w:pStyle w:val="45"/>
              <w:spacing w:beforeLines="0" w:afterLines="0"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全厂排放量（固体废物产生量）</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6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kern w:val="2"/>
                <w:szCs w:val="21"/>
                <w:lang w:val="en-US" w:eastAsia="zh-CN"/>
              </w:rPr>
              <w:t>⑥</w:t>
            </w:r>
            <w:r>
              <w:rPr>
                <w:rFonts w:ascii="Times New Roman" w:eastAsia="黑体"/>
                <w:snapToGrid w:val="0"/>
                <w:color w:val="000000"/>
                <w:spacing w:val="-16"/>
                <w:kern w:val="21"/>
                <w:szCs w:val="21"/>
                <w:lang w:val="en-US" w:eastAsia="zh-CN"/>
              </w:rPr>
              <w:fldChar w:fldCharType="end"/>
            </w:r>
          </w:p>
        </w:tc>
        <w:tc>
          <w:tcPr>
            <w:tcW w:w="1144" w:type="dxa"/>
            <w:tcMar>
              <w:left w:w="28" w:type="dxa"/>
              <w:right w:w="28" w:type="dxa"/>
            </w:tcMar>
            <w:vAlign w:val="center"/>
          </w:tcPr>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变化量</w:t>
            </w:r>
          </w:p>
          <w:p>
            <w:pPr>
              <w:pStyle w:val="45"/>
              <w:spacing w:beforeLines="0" w:afterLines="0"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7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kern w:val="2"/>
                <w:szCs w:val="21"/>
                <w:lang w:val="en-US" w:eastAsia="zh-CN"/>
              </w:rPr>
              <w:t>⑦</w:t>
            </w:r>
            <w:r>
              <w:rPr>
                <w:rFonts w:ascii="Times New Roman" w:eastAsia="黑体"/>
                <w:snapToGrid w:val="0"/>
                <w:color w:val="00000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88" w:type="dxa"/>
            <w:vMerge w:val="restart"/>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废气</w:t>
            </w:r>
          </w:p>
        </w:tc>
        <w:tc>
          <w:tcPr>
            <w:tcW w:w="1417" w:type="dxa"/>
            <w:vAlign w:val="center"/>
          </w:tcPr>
          <w:p>
            <w:pPr>
              <w:pStyle w:val="45"/>
              <w:spacing w:beforeLines="0" w:afterLines="0" w:line="240" w:lineRule="auto"/>
              <w:rPr>
                <w:rFonts w:ascii="Times New Roman"/>
                <w:szCs w:val="21"/>
                <w:lang w:val="en-US" w:eastAsia="zh-CN"/>
              </w:rPr>
            </w:pPr>
            <w:r>
              <w:rPr>
                <w:rFonts w:hint="eastAsia" w:ascii="Times New Roman"/>
                <w:szCs w:val="21"/>
                <w:lang w:val="en-US" w:eastAsia="zh-CN"/>
              </w:rPr>
              <w:t>餐饮油烟</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0.0659</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0.0659</w:t>
            </w:r>
          </w:p>
        </w:tc>
        <w:tc>
          <w:tcPr>
            <w:tcW w:w="1144"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r>
              <w:rPr>
                <w:rFonts w:ascii="Times New Roman"/>
                <w:snapToGrid w:val="0"/>
                <w:color w:val="000000"/>
                <w:kern w:val="21"/>
                <w:szCs w:val="21"/>
                <w:lang w:val="en-US" w:eastAsia="zh-CN"/>
              </w:rPr>
              <w:t>0.</w:t>
            </w:r>
            <w:r>
              <w:rPr>
                <w:rFonts w:hint="eastAsia" w:ascii="Times New Roman"/>
                <w:snapToGrid w:val="0"/>
                <w:color w:val="000000"/>
                <w:kern w:val="21"/>
                <w:szCs w:val="21"/>
                <w:lang w:val="en-US" w:eastAsia="zh-CN"/>
              </w:rPr>
              <w:t>0659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588" w:type="dxa"/>
            <w:vMerge w:val="continue"/>
            <w:vAlign w:val="center"/>
          </w:tcPr>
          <w:p>
            <w:pPr>
              <w:pStyle w:val="45"/>
              <w:spacing w:beforeLines="0" w:afterLines="0" w:line="240" w:lineRule="auto"/>
              <w:rPr>
                <w:rFonts w:hint="eastAsia"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hint="default" w:ascii="Times New Roman"/>
                <w:szCs w:val="21"/>
                <w:lang w:val="en-US" w:eastAsia="zh-CN"/>
              </w:rPr>
            </w:pPr>
            <w:r>
              <w:rPr>
                <w:rFonts w:hint="eastAsia" w:ascii="Times New Roman"/>
                <w:szCs w:val="21"/>
                <w:lang w:val="en-US" w:eastAsia="zh-CN"/>
              </w:rPr>
              <w:t>氯化氢</w:t>
            </w:r>
          </w:p>
        </w:tc>
        <w:tc>
          <w:tcPr>
            <w:tcW w:w="1701"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0.0002</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0.0002</w:t>
            </w:r>
          </w:p>
        </w:tc>
        <w:tc>
          <w:tcPr>
            <w:tcW w:w="1144"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88" w:type="dxa"/>
            <w:vMerge w:val="continue"/>
            <w:vAlign w:val="center"/>
          </w:tcPr>
          <w:p>
            <w:pPr>
              <w:pStyle w:val="45"/>
              <w:spacing w:beforeLines="0" w:afterLines="0" w:line="240" w:lineRule="auto"/>
              <w:rPr>
                <w:rFonts w:hint="eastAsia"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hint="default" w:ascii="Times New Roman"/>
                <w:szCs w:val="21"/>
                <w:lang w:val="en-US" w:eastAsia="zh-CN"/>
              </w:rPr>
            </w:pPr>
            <w:r>
              <w:rPr>
                <w:rFonts w:hint="eastAsia" w:ascii="Times New Roman"/>
                <w:szCs w:val="21"/>
                <w:lang w:val="en-US" w:eastAsia="zh-CN"/>
              </w:rPr>
              <w:t>硫酸雾</w:t>
            </w:r>
          </w:p>
        </w:tc>
        <w:tc>
          <w:tcPr>
            <w:tcW w:w="1701"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0.0001</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0.0001</w:t>
            </w:r>
          </w:p>
        </w:tc>
        <w:tc>
          <w:tcPr>
            <w:tcW w:w="1144"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废水</w:t>
            </w:r>
          </w:p>
        </w:tc>
        <w:tc>
          <w:tcPr>
            <w:tcW w:w="1417"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废水量</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34392</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34392</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+34392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COD</w:t>
            </w:r>
            <w:r>
              <w:rPr>
                <w:rFonts w:ascii="Times New Roman"/>
                <w:szCs w:val="21"/>
                <w:vertAlign w:val="subscript"/>
                <w:lang w:val="en-US" w:eastAsia="zh-CN"/>
              </w:rPr>
              <w:t>Cr</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1.7196</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1.7196</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+1.7196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ascii="Times New Roman"/>
                <w:szCs w:val="21"/>
                <w:lang w:val="en-US" w:eastAsia="zh-CN"/>
              </w:rPr>
            </w:pPr>
            <w:r>
              <w:rPr>
                <w:rFonts w:ascii="Times New Roman"/>
                <w:szCs w:val="21"/>
                <w:lang w:val="en-US" w:eastAsia="zh-CN"/>
              </w:rPr>
              <w:t>BOD</w:t>
            </w:r>
            <w:r>
              <w:rPr>
                <w:rFonts w:ascii="Times New Roman"/>
                <w:szCs w:val="21"/>
                <w:vertAlign w:val="subscript"/>
                <w:lang w:val="en-US" w:eastAsia="zh-CN"/>
              </w:rPr>
              <w:t>5</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0.0624</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0.0624</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NH</w:t>
            </w:r>
            <w:r>
              <w:rPr>
                <w:rFonts w:ascii="Times New Roman"/>
                <w:szCs w:val="21"/>
                <w:vertAlign w:val="subscript"/>
                <w:lang w:val="en-US" w:eastAsia="zh-CN"/>
              </w:rPr>
              <w:t>3</w:t>
            </w:r>
            <w:r>
              <w:rPr>
                <w:rFonts w:ascii="Times New Roman"/>
                <w:szCs w:val="21"/>
                <w:lang w:val="en-US" w:eastAsia="zh-CN"/>
              </w:rPr>
              <w:t>-N</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0.1720</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0.1720</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+0.1720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pStyle w:val="45"/>
              <w:spacing w:beforeLines="0" w:afterLines="0" w:line="240" w:lineRule="auto"/>
              <w:rPr>
                <w:rFonts w:ascii="Times New Roman"/>
                <w:szCs w:val="21"/>
                <w:lang w:val="en-US" w:eastAsia="zh-CN"/>
              </w:rPr>
            </w:pPr>
            <w:r>
              <w:rPr>
                <w:rFonts w:hint="eastAsia" w:ascii="Times New Roman"/>
                <w:szCs w:val="21"/>
                <w:lang w:val="en-US" w:eastAsia="zh-CN"/>
              </w:rPr>
              <w:t>SS</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0.000</w:t>
            </w:r>
            <w:r>
              <w:rPr>
                <w:rFonts w:hint="eastAsia" w:ascii="Times New Roman"/>
                <w:szCs w:val="21"/>
                <w:lang w:val="en-US" w:eastAsia="zh-CN"/>
              </w:rPr>
              <w:t>7</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0.000</w:t>
            </w:r>
            <w:r>
              <w:rPr>
                <w:rFonts w:hint="eastAsia" w:ascii="Times New Roman"/>
                <w:szCs w:val="21"/>
                <w:lang w:val="en-US" w:eastAsia="zh-CN"/>
              </w:rPr>
              <w:t>7</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r>
              <w:rPr>
                <w:rFonts w:ascii="Times New Roman"/>
                <w:szCs w:val="21"/>
                <w:lang w:val="en-US" w:eastAsia="zh-CN"/>
              </w:rPr>
              <w:t>0.000</w:t>
            </w:r>
            <w:r>
              <w:rPr>
                <w:rFonts w:hint="eastAsia" w:ascii="Times New Roman"/>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jc w:val="center"/>
              <w:rPr>
                <w:szCs w:val="21"/>
              </w:rPr>
            </w:pPr>
            <w:r>
              <w:rPr>
                <w:rFonts w:hint="eastAsia"/>
                <w:szCs w:val="21"/>
              </w:rPr>
              <w:t>动植</w:t>
            </w:r>
          </w:p>
          <w:p>
            <w:pPr>
              <w:pStyle w:val="45"/>
              <w:spacing w:beforeLines="0" w:afterLines="0" w:line="240" w:lineRule="auto"/>
              <w:rPr>
                <w:szCs w:val="21"/>
                <w:lang w:val="en-US" w:eastAsia="zh-CN"/>
              </w:rPr>
            </w:pPr>
            <w:r>
              <w:rPr>
                <w:rFonts w:hint="eastAsia"/>
                <w:szCs w:val="21"/>
                <w:lang w:val="en-US" w:eastAsia="zh-CN"/>
              </w:rPr>
              <w:t>物油</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0.00624</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zCs w:val="21"/>
                <w:lang w:val="en-US" w:eastAsia="zh-CN"/>
              </w:rPr>
              <w:t>0.00624</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w:t>
            </w:r>
            <w:r>
              <w:rPr>
                <w:rFonts w:ascii="Times New Roman"/>
                <w:szCs w:val="21"/>
                <w:lang w:val="en-US" w:eastAsia="zh-CN"/>
              </w:rPr>
              <w:t>0.00624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一般工业</w:t>
            </w:r>
          </w:p>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固体废物</w:t>
            </w:r>
          </w:p>
        </w:tc>
        <w:tc>
          <w:tcPr>
            <w:tcW w:w="1417"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szCs w:val="21"/>
                <w:lang w:val="en-US" w:eastAsia="zh-CN"/>
              </w:rPr>
              <w:t>未沾染</w:t>
            </w:r>
            <w:r>
              <w:rPr>
                <w:szCs w:val="21"/>
                <w:lang w:val="en-US" w:eastAsia="zh-CN"/>
              </w:rPr>
              <w:t>危化品的废包装物及碎玻璃</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0.5</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0.5</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88" w:type="dxa"/>
            <w:vMerge w:val="restart"/>
            <w:vAlign w:val="center"/>
          </w:tcPr>
          <w:p>
            <w:pPr>
              <w:pStyle w:val="45"/>
              <w:spacing w:beforeLines="0" w:afterLines="0"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危险废物</w:t>
            </w:r>
          </w:p>
        </w:tc>
        <w:tc>
          <w:tcPr>
            <w:tcW w:w="1417" w:type="dxa"/>
            <w:vAlign w:val="center"/>
          </w:tcPr>
          <w:p>
            <w:pPr>
              <w:pStyle w:val="45"/>
              <w:spacing w:beforeLines="0" w:afterLines="0" w:line="240" w:lineRule="auto"/>
              <w:rPr>
                <w:rFonts w:ascii="Times New Roman"/>
                <w:snapToGrid w:val="0"/>
                <w:color w:val="000000"/>
                <w:kern w:val="21"/>
                <w:szCs w:val="21"/>
                <w:lang w:val="en-US" w:eastAsia="zh-CN"/>
              </w:rPr>
            </w:pPr>
            <w:r>
              <w:rPr>
                <w:szCs w:val="21"/>
                <w:lang w:val="en-US" w:eastAsia="zh-CN"/>
              </w:rPr>
              <w:t>沾染危化品的废包装物及碎玻璃</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0.05</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0.05</w:t>
            </w:r>
          </w:p>
        </w:tc>
        <w:tc>
          <w:tcPr>
            <w:tcW w:w="1144"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88" w:type="dxa"/>
            <w:vMerge w:val="continue"/>
            <w:vAlign w:val="center"/>
          </w:tcPr>
          <w:p>
            <w:pPr>
              <w:pStyle w:val="45"/>
              <w:spacing w:beforeLines="0" w:afterLines="0" w:line="240" w:lineRule="auto"/>
              <w:rPr>
                <w:rFonts w:ascii="Times New Roman"/>
                <w:snapToGrid w:val="0"/>
                <w:color w:val="000000"/>
                <w:kern w:val="21"/>
                <w:szCs w:val="21"/>
                <w:lang w:val="en-US" w:eastAsia="zh-CN"/>
              </w:rPr>
            </w:pPr>
          </w:p>
        </w:tc>
        <w:tc>
          <w:tcPr>
            <w:tcW w:w="1417" w:type="dxa"/>
            <w:vAlign w:val="center"/>
          </w:tcPr>
          <w:p>
            <w:pPr>
              <w:pStyle w:val="45"/>
              <w:spacing w:beforeLines="0" w:afterLines="0" w:line="240" w:lineRule="auto"/>
              <w:rPr>
                <w:szCs w:val="21"/>
                <w:lang w:val="en-US" w:eastAsia="zh-CN"/>
              </w:rPr>
            </w:pPr>
            <w:r>
              <w:rPr>
                <w:rFonts w:hint="eastAsia"/>
                <w:szCs w:val="21"/>
                <w:lang w:val="en-US" w:eastAsia="zh-CN"/>
              </w:rPr>
              <w:t>过期失效的化学试剂</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c>
          <w:tcPr>
            <w:tcW w:w="1276"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0.0042</w:t>
            </w:r>
          </w:p>
        </w:tc>
        <w:tc>
          <w:tcPr>
            <w:tcW w:w="1559" w:type="dxa"/>
            <w:vAlign w:val="center"/>
          </w:tcPr>
          <w:p>
            <w:pPr>
              <w:pStyle w:val="45"/>
              <w:spacing w:beforeLines="0" w:afterLines="0"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843"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0.0042</w:t>
            </w:r>
          </w:p>
        </w:tc>
        <w:tc>
          <w:tcPr>
            <w:tcW w:w="1144" w:type="dxa"/>
            <w:vAlign w:val="center"/>
          </w:tcPr>
          <w:p>
            <w:pPr>
              <w:pStyle w:val="45"/>
              <w:spacing w:beforeLines="0" w:afterLines="0" w:line="240" w:lineRule="auto"/>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+0.0042</w:t>
            </w:r>
          </w:p>
        </w:tc>
      </w:tr>
    </w:tbl>
    <w:p>
      <w:pPr>
        <w:pStyle w:val="45"/>
        <w:spacing w:beforeLines="80" w:after="24"/>
        <w:jc w:val="left"/>
        <w:sectPr>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int="eastAsia"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int="eastAsia"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ascii="宋体" w:hAnsi="宋体" w:eastAsia="黑体"/>
        </w:rPr>
      </w:pPr>
    </w:p>
    <w:sectPr>
      <w:footerReference r:id="rId10"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KaiTi_GB2312">
    <w:altName w:val="楷体"/>
    <w:panose1 w:val="02010609060101010101"/>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52"/>
      <w:rPr>
        <w:sz w:val="18"/>
        <w:szCs w:val="18"/>
      </w:rPr>
    </w:pPr>
    <w:r>
      <w:rPr>
        <w:sz w:val="18"/>
        <w:szCs w:val="18"/>
      </w:rPr>
      <w:pict>
        <v:shape id="文本框 73" o:spid="_x0000_s2053" o:spt="202" type="#_x0000_t202" style="position:absolute;left:0pt;margin-left:213.75pt;margin-top:3pt;height:144pt;width:144pt;mso-position-horizontal-relative:margin;mso-wrap-style:none;z-index:251659264;mso-width-relative:page;mso-height-relative:page;" filled="f" stroked="f" coordsize="21600,21600" o:gfxdata="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JJiZo1QAAAAkBAAAPAAAAAAAAAAEAIAAAACIAAABkcnMvZG93&#10;bnJldi54bWxQSwECFAAUAAAACACHTuJA6Jz7/MoBAACbAwAADgAAAAAAAAABACAAAAAkAQAAZHJz&#10;L2Uyb0RvYy54bWxQSwUGAAAAAAYABgBZAQAAYAUAAAAA&#10;">
          <v:path/>
          <v:fill on="f" focussize="0,0"/>
          <v:stroke on="f" joinstyle="miter"/>
          <v:imagedata o:title=""/>
          <o:lock v:ext="edit"/>
          <v:textbox inset="0mm,0mm,0mm,0mm" style="mso-fit-shape-to-text:t;">
            <w:txbxContent>
              <w:p>
                <w:pPr>
                  <w:snapToGrid w:val="0"/>
                  <w:rPr>
                    <w:sz w:val="18"/>
                  </w:rPr>
                </w:pPr>
              </w:p>
            </w:txbxContent>
          </v:textbox>
        </v:shape>
      </w:pict>
    </w:r>
    <w:r>
      <w:rPr>
        <w:sz w:val="18"/>
        <w:szCs w:val="18"/>
      </w:rPr>
      <w:pict>
        <v:shape id="文本框 132" o:spid="_x0000_s2052" o:spt="202" type="#_x0000_t202" style="position:absolute;left:0pt;margin-left:299.25pt;margin-top:1.45pt;height:144pt;width:144pt;mso-position-horizontal-relative:page;mso-wrap-style:none;z-index:251659264;mso-width-relative:page;mso-height-relative:page;" filled="f" stroked="f" coordsize="21600,21600" o:gfxdata="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q6TYNQAAAAJAQAADwAAAAAAAAABACAAAAAiAAAAZHJzL2Rv&#10;d25yZXYueG1sUEsBAhQAFAAAAAgAh07iQIhqOlTMAQAAnAMAAA4AAAAAAAAAAQAgAAAAIwEAAGRy&#10;cy9lMm9Eb2MueG1sUEsFBgAAAAAGAAYAWQEAAGEFAAAAAA==&#10;">
          <v:path/>
          <v:fill on="f" focussize="0,0"/>
          <v:stroke on="f" joinstyle="miter"/>
          <v:imagedata o:title=""/>
          <o:lock v:ext="edit"/>
          <v:textbox inset="0mm,0mm,0mm,0mm" style="mso-fit-shape-to-text:t;">
            <w:txbxContent>
              <w:p>
                <w:pPr>
                  <w:pStyle w:val="15"/>
                  <w:jc w:val="center"/>
                </w:pPr>
              </w:p>
            </w:txbxContent>
          </v:textbox>
        </v:shape>
      </w:pict>
    </w:r>
    <w:r>
      <w:rPr>
        <w:sz w:val="18"/>
        <w:szCs w:val="18"/>
      </w:rPr>
      <w:t xml:space="preserve">浙江环耀环境建设有限公司                            </w:t>
    </w:r>
    <w:r>
      <w:rPr>
        <w:color w:val="000000"/>
        <w:sz w:val="18"/>
        <w:szCs w:val="18"/>
      </w:rPr>
      <w:t>电话：0571-</w:t>
    </w:r>
    <w:r>
      <w:rPr>
        <w:sz w:val="18"/>
        <w:szCs w:val="18"/>
      </w:rPr>
      <w:t>88018253</w:t>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1080" w:right="-52" w:hanging="1080" w:hangingChars="600"/>
      <w:rPr>
        <w:sz w:val="18"/>
        <w:szCs w:val="18"/>
      </w:rPr>
    </w:pPr>
    <w:r>
      <w:rPr>
        <w:sz w:val="18"/>
        <w:szCs w:val="18"/>
      </w:rPr>
      <w:pict>
        <v:shape id="文本框 7" o:spid="_x0000_s2051"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xUcskBAACa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bmixHGLE798/3b58evy8yt5&#10;n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FRyyQEAAJoDAAAOAAAAAAAAAAEAIAAAAB4BAABkcnMvZTJvRG9j&#10;LnhtbFBLBQYAAAAABgAGAFkBAABZBQAAAAA=&#1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w:r>
    <w:r>
      <w:rPr>
        <w:sz w:val="18"/>
        <w:szCs w:val="18"/>
      </w:rPr>
      <w:pict>
        <v:shape id="文本框 8" o:spid="_x0000_s2050" o:spt="202" type="#_x0000_t202" style="position:absolute;left:0pt;margin-left:213.75pt;margin-top:3pt;height:144pt;width:144pt;mso-position-horizontal-relative:margin;mso-wrap-style:none;z-index:251659264;mso-width-relative:page;mso-height-relative:page;" filled="f" stroked="f" coordsize="21600,21600" o:gfxdata="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JJiZo1QAAAAkBAAAPAAAAAAAAAAEAIAAAACIAAABkcnMvZG93&#10;bnJldi54bWxQSwECFAAUAAAACACHTuJADiySxMoBAACaAwAADgAAAAAAAAABACAAAAAkAQAAZHJz&#10;L2Uyb0RvYy54bWxQSwUGAAAAAAYABgBZAQAAYAUAAAAA&#10;">
          <v:path/>
          <v:fill on="f" focussize="0,0"/>
          <v:stroke on="f" joinstyle="miter"/>
          <v:imagedata o:title=""/>
          <o:lock v:ext="edit"/>
          <v:textbox inset="0mm,0mm,0mm,0mm" style="mso-fit-shape-to-text:t;">
            <w:txbxContent>
              <w:p>
                <w:pPr>
                  <w:snapToGrid w:val="0"/>
                  <w:rPr>
                    <w:sz w:val="18"/>
                  </w:rPr>
                </w:pPr>
              </w:p>
            </w:txbxContent>
          </v:textbox>
        </v:shape>
      </w:pict>
    </w:r>
    <w:r>
      <w:rPr>
        <w:sz w:val="18"/>
        <w:szCs w:val="18"/>
      </w:rPr>
      <w:pict>
        <v:shape id="文本框 9" o:spid="_x0000_s2049" o:spt="202" type="#_x0000_t202" style="position:absolute;left:0pt;margin-left:299.25pt;margin-top:1.45pt;height:144pt;width:144pt;mso-position-horizontal-relative:page;mso-wrap-style:none;z-index:251659264;mso-width-relative:page;mso-height-relative:page;" filled="f" stroked="f" coordsize="21600,21600" o:gfxdata="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auk2DUAAAACQEAAA8AAAAAAAAAAQAgAAAAIgAAAGRycy9kb3du&#10;cmV2LnhtbFBLAQIUABQAAAAIAIdO4kDYgn0ZygEAAJoDAAAOAAAAAAAAAAEAIAAAACMBAABkcnMv&#10;ZTJvRG9jLnhtbFBLBQYAAAAABgAGAFkBAABfBQAAAAA=&#10;">
          <v:path/>
          <v:fill on="f" focussize="0,0"/>
          <v:stroke on="f" joinstyle="miter"/>
          <v:imagedata o:title=""/>
          <o:lock v:ext="edit"/>
          <v:textbox inset="0mm,0mm,0mm,0mm" style="mso-fit-shape-to-text:t;">
            <w:txbxContent>
              <w:p>
                <w:pPr>
                  <w:pStyle w:val="15"/>
                  <w:jc w:val="center"/>
                </w:pPr>
              </w:p>
            </w:txbxContent>
          </v:textbox>
        </v:shape>
      </w:pict>
    </w:r>
    <w:r>
      <w:rPr>
        <w:sz w:val="18"/>
        <w:szCs w:val="18"/>
      </w:rPr>
      <w:t xml:space="preserve">浙江环耀环境建设有限公司                            </w:t>
    </w:r>
    <w:r>
      <w:rPr>
        <w:rFonts w:hint="eastAsia"/>
        <w:sz w:val="18"/>
        <w:szCs w:val="18"/>
        <w:lang w:val="en-US" w:eastAsia="zh-CN"/>
      </w:rPr>
      <w:t xml:space="preserve">                           </w:t>
    </w:r>
    <w:r>
      <w:rPr>
        <w:color w:val="000000"/>
        <w:sz w:val="18"/>
        <w:szCs w:val="18"/>
      </w:rPr>
      <w:t>电话：0571-</w:t>
    </w:r>
    <w:r>
      <w:rPr>
        <w:sz w:val="18"/>
        <w:szCs w:val="18"/>
      </w:rPr>
      <w:t>88018253</w:t>
    </w:r>
  </w:p>
  <w:p>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Fonts w:ascii="宋体" w:hAnsi="宋体"/>
        <w:sz w:val="28"/>
        <w:szCs w:val="28"/>
      </w:rPr>
    </w:pPr>
    <w:r>
      <w:rPr>
        <w:rStyle w:val="25"/>
        <w:rFonts w:hint="eastAsia" w:ascii="宋体" w:hAnsi="宋体"/>
        <w:sz w:val="28"/>
        <w:szCs w:val="28"/>
      </w:rPr>
      <w:t>—</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60</w:t>
    </w:r>
    <w:r>
      <w:rPr>
        <w:rFonts w:ascii="宋体" w:hAnsi="宋体"/>
        <w:sz w:val="26"/>
        <w:szCs w:val="26"/>
      </w:rPr>
      <w:fldChar w:fldCharType="end"/>
    </w:r>
    <w:r>
      <w:rPr>
        <w:rStyle w:val="25"/>
        <w:rFonts w:hint="eastAsia" w:ascii="宋体" w:hAnsi="宋体"/>
        <w:sz w:val="28"/>
        <w:szCs w:val="28"/>
      </w:rPr>
      <w:t>—</w:t>
    </w:r>
  </w:p>
  <w:p>
    <w:pPr>
      <w:pStyle w:val="1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宋体" w:hAnsi="宋体" w:cs="宋体"/>
      </w:rPr>
      <w:t>黄山市昱城中学分校环境影响报告表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414C6"/>
    <w:multiLevelType w:val="singleLevel"/>
    <w:tmpl w:val="AAA414C6"/>
    <w:lvl w:ilvl="0" w:tentative="0">
      <w:start w:val="2"/>
      <w:numFmt w:val="decimal"/>
      <w:suff w:val="nothing"/>
      <w:lvlText w:val="%1、"/>
      <w:lvlJc w:val="left"/>
    </w:lvl>
  </w:abstractNum>
  <w:abstractNum w:abstractNumId="1">
    <w:nsid w:val="BFB137F9"/>
    <w:multiLevelType w:val="singleLevel"/>
    <w:tmpl w:val="BFB137F9"/>
    <w:lvl w:ilvl="0" w:tentative="0">
      <w:start w:val="1"/>
      <w:numFmt w:val="decimal"/>
      <w:suff w:val="nothing"/>
      <w:lvlText w:val="%1、"/>
      <w:lvlJc w:val="left"/>
    </w:lvl>
  </w:abstractNum>
  <w:abstractNum w:abstractNumId="2">
    <w:nsid w:val="C5AC6964"/>
    <w:multiLevelType w:val="singleLevel"/>
    <w:tmpl w:val="C5AC6964"/>
    <w:lvl w:ilvl="0" w:tentative="0">
      <w:start w:val="1"/>
      <w:numFmt w:val="chineseCounting"/>
      <w:suff w:val="nothing"/>
      <w:lvlText w:val="（%1）"/>
      <w:lvlJc w:val="left"/>
      <w:rPr>
        <w:rFonts w:hint="eastAsia"/>
      </w:rPr>
    </w:lvl>
  </w:abstractNum>
  <w:abstractNum w:abstractNumId="3">
    <w:nsid w:val="F0BB8F07"/>
    <w:multiLevelType w:val="singleLevel"/>
    <w:tmpl w:val="F0BB8F07"/>
    <w:lvl w:ilvl="0" w:tentative="0">
      <w:start w:val="1"/>
      <w:numFmt w:val="decimal"/>
      <w:suff w:val="nothing"/>
      <w:lvlText w:val="（%1）"/>
      <w:lvlJc w:val="left"/>
    </w:lvl>
  </w:abstractNum>
  <w:abstractNum w:abstractNumId="4">
    <w:nsid w:val="13AB450C"/>
    <w:multiLevelType w:val="singleLevel"/>
    <w:tmpl w:val="13AB450C"/>
    <w:lvl w:ilvl="0" w:tentative="0">
      <w:start w:val="2"/>
      <w:numFmt w:val="decimal"/>
      <w:suff w:val="nothing"/>
      <w:lvlText w:val="%1、"/>
      <w:lvlJc w:val="left"/>
    </w:lvl>
  </w:abstractNum>
  <w:abstractNum w:abstractNumId="5">
    <w:nsid w:val="61551981"/>
    <w:multiLevelType w:val="singleLevel"/>
    <w:tmpl w:val="61551981"/>
    <w:lvl w:ilvl="0" w:tentative="0">
      <w:start w:val="3"/>
      <w:numFmt w:val="decimal"/>
      <w:suff w:val="nothing"/>
      <w:lvlText w:val="（%1）"/>
      <w:lvlJc w:val="left"/>
    </w:lvl>
  </w:abstractNum>
  <w:abstractNum w:abstractNumId="6">
    <w:nsid w:val="682531CF"/>
    <w:multiLevelType w:val="singleLevel"/>
    <w:tmpl w:val="682531CF"/>
    <w:lvl w:ilvl="0" w:tentative="0">
      <w:start w:val="1"/>
      <w:numFmt w:val="decimal"/>
      <w:suff w:val="nothing"/>
      <w:lvlText w:val="（%1）"/>
      <w:lvlJc w:val="left"/>
    </w:lvl>
  </w:abstractNum>
  <w:abstractNum w:abstractNumId="7">
    <w:nsid w:val="7346253B"/>
    <w:multiLevelType w:val="singleLevel"/>
    <w:tmpl w:val="7346253B"/>
    <w:lvl w:ilvl="0" w:tentative="0">
      <w:start w:val="2"/>
      <w:numFmt w:val="decimal"/>
      <w:suff w:val="nothing"/>
      <w:lvlText w:val="（%1）"/>
      <w:lvlJc w:val="left"/>
    </w:lvl>
  </w:abstractNum>
  <w:num w:numId="1">
    <w:abstractNumId w:val="2"/>
  </w:num>
  <w:num w:numId="2">
    <w:abstractNumId w:val="4"/>
  </w:num>
  <w:num w:numId="3">
    <w:abstractNumId w:val="3"/>
  </w:num>
  <w:num w:numId="4">
    <w:abstractNumId w:val="0"/>
  </w:num>
  <w:num w:numId="5">
    <w:abstractNumId w:val="5"/>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NotTrackMove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4947"/>
    <w:rsid w:val="000060B3"/>
    <w:rsid w:val="0004364B"/>
    <w:rsid w:val="000437C7"/>
    <w:rsid w:val="00056CCF"/>
    <w:rsid w:val="00061B1F"/>
    <w:rsid w:val="000733C4"/>
    <w:rsid w:val="00074783"/>
    <w:rsid w:val="000803CC"/>
    <w:rsid w:val="0008070B"/>
    <w:rsid w:val="0008088D"/>
    <w:rsid w:val="000810AC"/>
    <w:rsid w:val="00081A02"/>
    <w:rsid w:val="00082231"/>
    <w:rsid w:val="00092D38"/>
    <w:rsid w:val="0009377B"/>
    <w:rsid w:val="000A20C9"/>
    <w:rsid w:val="000B058F"/>
    <w:rsid w:val="000B4467"/>
    <w:rsid w:val="000B4DB9"/>
    <w:rsid w:val="000C09AC"/>
    <w:rsid w:val="000C767F"/>
    <w:rsid w:val="000D5A44"/>
    <w:rsid w:val="000E3ED2"/>
    <w:rsid w:val="00115AC1"/>
    <w:rsid w:val="00131F42"/>
    <w:rsid w:val="001357F1"/>
    <w:rsid w:val="00140FA8"/>
    <w:rsid w:val="00142FEB"/>
    <w:rsid w:val="00143057"/>
    <w:rsid w:val="00143A2D"/>
    <w:rsid w:val="00145A41"/>
    <w:rsid w:val="00151675"/>
    <w:rsid w:val="00157435"/>
    <w:rsid w:val="0016260B"/>
    <w:rsid w:val="0017504D"/>
    <w:rsid w:val="0017671A"/>
    <w:rsid w:val="00177422"/>
    <w:rsid w:val="00184590"/>
    <w:rsid w:val="001870D1"/>
    <w:rsid w:val="0018781E"/>
    <w:rsid w:val="0019262D"/>
    <w:rsid w:val="001A1B35"/>
    <w:rsid w:val="001A48A2"/>
    <w:rsid w:val="001A6F61"/>
    <w:rsid w:val="001B72B8"/>
    <w:rsid w:val="001C419A"/>
    <w:rsid w:val="001C69B3"/>
    <w:rsid w:val="001C7568"/>
    <w:rsid w:val="001D5595"/>
    <w:rsid w:val="001D7874"/>
    <w:rsid w:val="001D7F22"/>
    <w:rsid w:val="001F0F17"/>
    <w:rsid w:val="001F3347"/>
    <w:rsid w:val="001F647F"/>
    <w:rsid w:val="001F69E4"/>
    <w:rsid w:val="002125B4"/>
    <w:rsid w:val="0021261B"/>
    <w:rsid w:val="002155B8"/>
    <w:rsid w:val="00224839"/>
    <w:rsid w:val="002249B2"/>
    <w:rsid w:val="00226134"/>
    <w:rsid w:val="00226574"/>
    <w:rsid w:val="002271D8"/>
    <w:rsid w:val="002278EC"/>
    <w:rsid w:val="0023280E"/>
    <w:rsid w:val="002377D1"/>
    <w:rsid w:val="002506BC"/>
    <w:rsid w:val="00254345"/>
    <w:rsid w:val="00264557"/>
    <w:rsid w:val="002805AB"/>
    <w:rsid w:val="00284204"/>
    <w:rsid w:val="00291773"/>
    <w:rsid w:val="0029220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446D"/>
    <w:rsid w:val="0033684D"/>
    <w:rsid w:val="00337B42"/>
    <w:rsid w:val="00341B42"/>
    <w:rsid w:val="00341E24"/>
    <w:rsid w:val="0034348F"/>
    <w:rsid w:val="00356653"/>
    <w:rsid w:val="0035743F"/>
    <w:rsid w:val="00357BE2"/>
    <w:rsid w:val="0036070C"/>
    <w:rsid w:val="0036170C"/>
    <w:rsid w:val="00366456"/>
    <w:rsid w:val="00366E0F"/>
    <w:rsid w:val="00381A72"/>
    <w:rsid w:val="00384676"/>
    <w:rsid w:val="00390857"/>
    <w:rsid w:val="003A4BF3"/>
    <w:rsid w:val="003B420D"/>
    <w:rsid w:val="003C6C16"/>
    <w:rsid w:val="003D6E79"/>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A4827"/>
    <w:rsid w:val="004E6946"/>
    <w:rsid w:val="004F011B"/>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70F"/>
    <w:rsid w:val="00554A7B"/>
    <w:rsid w:val="0055572C"/>
    <w:rsid w:val="0056106A"/>
    <w:rsid w:val="00567AD5"/>
    <w:rsid w:val="005720AE"/>
    <w:rsid w:val="00594D77"/>
    <w:rsid w:val="005969E4"/>
    <w:rsid w:val="005A06B7"/>
    <w:rsid w:val="005A1759"/>
    <w:rsid w:val="005A68A7"/>
    <w:rsid w:val="005D36AB"/>
    <w:rsid w:val="0061799E"/>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4196"/>
    <w:rsid w:val="006C5479"/>
    <w:rsid w:val="006D0C1B"/>
    <w:rsid w:val="006D13B5"/>
    <w:rsid w:val="006E12FF"/>
    <w:rsid w:val="006E607E"/>
    <w:rsid w:val="00704429"/>
    <w:rsid w:val="00706C5D"/>
    <w:rsid w:val="00732922"/>
    <w:rsid w:val="00732DC2"/>
    <w:rsid w:val="0075162E"/>
    <w:rsid w:val="00754034"/>
    <w:rsid w:val="00756556"/>
    <w:rsid w:val="007618C4"/>
    <w:rsid w:val="00767980"/>
    <w:rsid w:val="00770B19"/>
    <w:rsid w:val="0077463F"/>
    <w:rsid w:val="007816FF"/>
    <w:rsid w:val="007836EA"/>
    <w:rsid w:val="00784CDA"/>
    <w:rsid w:val="007906C4"/>
    <w:rsid w:val="007940EA"/>
    <w:rsid w:val="007967E8"/>
    <w:rsid w:val="007A2170"/>
    <w:rsid w:val="007A22BF"/>
    <w:rsid w:val="007A3323"/>
    <w:rsid w:val="007A6306"/>
    <w:rsid w:val="007B1782"/>
    <w:rsid w:val="007B72B8"/>
    <w:rsid w:val="007B7A58"/>
    <w:rsid w:val="007C21B5"/>
    <w:rsid w:val="007D700C"/>
    <w:rsid w:val="007E4BD2"/>
    <w:rsid w:val="00801393"/>
    <w:rsid w:val="00802CDD"/>
    <w:rsid w:val="00802F88"/>
    <w:rsid w:val="0081293E"/>
    <w:rsid w:val="00815465"/>
    <w:rsid w:val="00817E9A"/>
    <w:rsid w:val="008306BD"/>
    <w:rsid w:val="00831A80"/>
    <w:rsid w:val="00833743"/>
    <w:rsid w:val="008340A4"/>
    <w:rsid w:val="0087135F"/>
    <w:rsid w:val="00872A09"/>
    <w:rsid w:val="00872D94"/>
    <w:rsid w:val="00880364"/>
    <w:rsid w:val="00891592"/>
    <w:rsid w:val="00891E9E"/>
    <w:rsid w:val="008A2F68"/>
    <w:rsid w:val="008B076B"/>
    <w:rsid w:val="008B0C1C"/>
    <w:rsid w:val="008B4FA6"/>
    <w:rsid w:val="008B5282"/>
    <w:rsid w:val="008B7C17"/>
    <w:rsid w:val="008C116F"/>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07F"/>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3BAC"/>
    <w:rsid w:val="00A04F1B"/>
    <w:rsid w:val="00A0501B"/>
    <w:rsid w:val="00A0634C"/>
    <w:rsid w:val="00A14947"/>
    <w:rsid w:val="00A32A83"/>
    <w:rsid w:val="00A35046"/>
    <w:rsid w:val="00A368DB"/>
    <w:rsid w:val="00A423AA"/>
    <w:rsid w:val="00A53EC6"/>
    <w:rsid w:val="00A55C0F"/>
    <w:rsid w:val="00A8713F"/>
    <w:rsid w:val="00A90BA1"/>
    <w:rsid w:val="00A97A9A"/>
    <w:rsid w:val="00AA0671"/>
    <w:rsid w:val="00AA2531"/>
    <w:rsid w:val="00AB1E09"/>
    <w:rsid w:val="00AB5330"/>
    <w:rsid w:val="00AB7747"/>
    <w:rsid w:val="00AC14CE"/>
    <w:rsid w:val="00AC1D4B"/>
    <w:rsid w:val="00AC2A56"/>
    <w:rsid w:val="00AD055E"/>
    <w:rsid w:val="00AD47A7"/>
    <w:rsid w:val="00AF0CBF"/>
    <w:rsid w:val="00AF257F"/>
    <w:rsid w:val="00AF33CF"/>
    <w:rsid w:val="00AF4D50"/>
    <w:rsid w:val="00AF6179"/>
    <w:rsid w:val="00B03288"/>
    <w:rsid w:val="00B1295A"/>
    <w:rsid w:val="00B20A45"/>
    <w:rsid w:val="00B22C5C"/>
    <w:rsid w:val="00B24F30"/>
    <w:rsid w:val="00B31ABF"/>
    <w:rsid w:val="00B33BE3"/>
    <w:rsid w:val="00B53B5D"/>
    <w:rsid w:val="00B6055E"/>
    <w:rsid w:val="00B6317D"/>
    <w:rsid w:val="00B7723F"/>
    <w:rsid w:val="00B7771A"/>
    <w:rsid w:val="00B80534"/>
    <w:rsid w:val="00B8433C"/>
    <w:rsid w:val="00B87491"/>
    <w:rsid w:val="00BA29E9"/>
    <w:rsid w:val="00BA7142"/>
    <w:rsid w:val="00BB237C"/>
    <w:rsid w:val="00BB41A3"/>
    <w:rsid w:val="00BC32DC"/>
    <w:rsid w:val="00BC35B6"/>
    <w:rsid w:val="00BD1B51"/>
    <w:rsid w:val="00BD4596"/>
    <w:rsid w:val="00BE0BCC"/>
    <w:rsid w:val="00BE1405"/>
    <w:rsid w:val="00BE312D"/>
    <w:rsid w:val="00BF1C20"/>
    <w:rsid w:val="00C10578"/>
    <w:rsid w:val="00C135BC"/>
    <w:rsid w:val="00C15C95"/>
    <w:rsid w:val="00C2596A"/>
    <w:rsid w:val="00C27537"/>
    <w:rsid w:val="00C328FE"/>
    <w:rsid w:val="00C33507"/>
    <w:rsid w:val="00C40705"/>
    <w:rsid w:val="00C4409D"/>
    <w:rsid w:val="00C44E72"/>
    <w:rsid w:val="00C45A06"/>
    <w:rsid w:val="00C47E5B"/>
    <w:rsid w:val="00C61E4B"/>
    <w:rsid w:val="00C64BFF"/>
    <w:rsid w:val="00C704E9"/>
    <w:rsid w:val="00C763C9"/>
    <w:rsid w:val="00C80057"/>
    <w:rsid w:val="00C8208D"/>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E77"/>
    <w:rsid w:val="00D0364F"/>
    <w:rsid w:val="00D06834"/>
    <w:rsid w:val="00D308ED"/>
    <w:rsid w:val="00D36D86"/>
    <w:rsid w:val="00D428AA"/>
    <w:rsid w:val="00D50A34"/>
    <w:rsid w:val="00D53EFA"/>
    <w:rsid w:val="00D8002C"/>
    <w:rsid w:val="00D94A7C"/>
    <w:rsid w:val="00D95896"/>
    <w:rsid w:val="00DB2983"/>
    <w:rsid w:val="00DC1257"/>
    <w:rsid w:val="00DC3DC0"/>
    <w:rsid w:val="00DC5B2B"/>
    <w:rsid w:val="00DD318D"/>
    <w:rsid w:val="00DD55C5"/>
    <w:rsid w:val="00DF2E12"/>
    <w:rsid w:val="00DF514A"/>
    <w:rsid w:val="00DF6690"/>
    <w:rsid w:val="00DF6804"/>
    <w:rsid w:val="00E0358D"/>
    <w:rsid w:val="00E035FC"/>
    <w:rsid w:val="00E04323"/>
    <w:rsid w:val="00E070A2"/>
    <w:rsid w:val="00E13512"/>
    <w:rsid w:val="00E239CD"/>
    <w:rsid w:val="00E26279"/>
    <w:rsid w:val="00E2656A"/>
    <w:rsid w:val="00E309EF"/>
    <w:rsid w:val="00E33988"/>
    <w:rsid w:val="00E412D0"/>
    <w:rsid w:val="00E56322"/>
    <w:rsid w:val="00E60982"/>
    <w:rsid w:val="00E62C62"/>
    <w:rsid w:val="00E654C1"/>
    <w:rsid w:val="00E65D97"/>
    <w:rsid w:val="00E72A5A"/>
    <w:rsid w:val="00E73354"/>
    <w:rsid w:val="00E83C27"/>
    <w:rsid w:val="00E86E2A"/>
    <w:rsid w:val="00E9242D"/>
    <w:rsid w:val="00E95566"/>
    <w:rsid w:val="00EA623F"/>
    <w:rsid w:val="00EB5255"/>
    <w:rsid w:val="00EB5C47"/>
    <w:rsid w:val="00ED0639"/>
    <w:rsid w:val="00EF4755"/>
    <w:rsid w:val="00EF7135"/>
    <w:rsid w:val="00F027DB"/>
    <w:rsid w:val="00F14A7A"/>
    <w:rsid w:val="00F22985"/>
    <w:rsid w:val="00F3383E"/>
    <w:rsid w:val="00F3502D"/>
    <w:rsid w:val="00F36BF9"/>
    <w:rsid w:val="00F465A7"/>
    <w:rsid w:val="00F50B7C"/>
    <w:rsid w:val="00F550E6"/>
    <w:rsid w:val="00F60C68"/>
    <w:rsid w:val="00F62DAF"/>
    <w:rsid w:val="00F74345"/>
    <w:rsid w:val="00F80A0A"/>
    <w:rsid w:val="00F82B19"/>
    <w:rsid w:val="00F86752"/>
    <w:rsid w:val="00F9212D"/>
    <w:rsid w:val="00F965DA"/>
    <w:rsid w:val="00FA406A"/>
    <w:rsid w:val="00FB503A"/>
    <w:rsid w:val="00FB516C"/>
    <w:rsid w:val="00FD0236"/>
    <w:rsid w:val="00FD18F4"/>
    <w:rsid w:val="00FD54DB"/>
    <w:rsid w:val="00FD619F"/>
    <w:rsid w:val="00FE20EC"/>
    <w:rsid w:val="01290F7E"/>
    <w:rsid w:val="015D1E09"/>
    <w:rsid w:val="01CE47CC"/>
    <w:rsid w:val="02181129"/>
    <w:rsid w:val="02457C61"/>
    <w:rsid w:val="02697903"/>
    <w:rsid w:val="02B03D54"/>
    <w:rsid w:val="02F96569"/>
    <w:rsid w:val="03C66385"/>
    <w:rsid w:val="03EA7B21"/>
    <w:rsid w:val="04932B7D"/>
    <w:rsid w:val="05BE165B"/>
    <w:rsid w:val="05CB5443"/>
    <w:rsid w:val="05F83EAE"/>
    <w:rsid w:val="060B7600"/>
    <w:rsid w:val="063E7D85"/>
    <w:rsid w:val="06460D0D"/>
    <w:rsid w:val="067F19D1"/>
    <w:rsid w:val="06AB27B1"/>
    <w:rsid w:val="07293586"/>
    <w:rsid w:val="07295285"/>
    <w:rsid w:val="07592D39"/>
    <w:rsid w:val="07636392"/>
    <w:rsid w:val="07770C56"/>
    <w:rsid w:val="07AA559E"/>
    <w:rsid w:val="092217DD"/>
    <w:rsid w:val="093A7294"/>
    <w:rsid w:val="09693DD2"/>
    <w:rsid w:val="09897878"/>
    <w:rsid w:val="0A263993"/>
    <w:rsid w:val="0A2D3AC2"/>
    <w:rsid w:val="0A8B6E7B"/>
    <w:rsid w:val="0AA755DF"/>
    <w:rsid w:val="0B120D44"/>
    <w:rsid w:val="0BD27BF6"/>
    <w:rsid w:val="0BF27A8B"/>
    <w:rsid w:val="0C1567C4"/>
    <w:rsid w:val="0C3B3C7D"/>
    <w:rsid w:val="0C5D025F"/>
    <w:rsid w:val="0CAB2EAE"/>
    <w:rsid w:val="0D3F7821"/>
    <w:rsid w:val="0D5F1F95"/>
    <w:rsid w:val="0D621C7D"/>
    <w:rsid w:val="0D9A5EAC"/>
    <w:rsid w:val="0E372B21"/>
    <w:rsid w:val="0E73034D"/>
    <w:rsid w:val="0E9540B8"/>
    <w:rsid w:val="0F13775A"/>
    <w:rsid w:val="0F5F45FE"/>
    <w:rsid w:val="0F9A112B"/>
    <w:rsid w:val="0FC535FC"/>
    <w:rsid w:val="0FCB1EF0"/>
    <w:rsid w:val="0FD12EFC"/>
    <w:rsid w:val="106D2F64"/>
    <w:rsid w:val="10717725"/>
    <w:rsid w:val="10B63710"/>
    <w:rsid w:val="10F10820"/>
    <w:rsid w:val="111C2F7A"/>
    <w:rsid w:val="11665CA1"/>
    <w:rsid w:val="12AB1B26"/>
    <w:rsid w:val="131F3052"/>
    <w:rsid w:val="13951726"/>
    <w:rsid w:val="14016D89"/>
    <w:rsid w:val="141D2CEC"/>
    <w:rsid w:val="14396509"/>
    <w:rsid w:val="14774386"/>
    <w:rsid w:val="14A27B60"/>
    <w:rsid w:val="14C3762A"/>
    <w:rsid w:val="14DD2C3C"/>
    <w:rsid w:val="14EC2FBA"/>
    <w:rsid w:val="15914CF3"/>
    <w:rsid w:val="15BD3C4B"/>
    <w:rsid w:val="16087E1D"/>
    <w:rsid w:val="16331B3D"/>
    <w:rsid w:val="165D16F5"/>
    <w:rsid w:val="16D40CA6"/>
    <w:rsid w:val="16DE2060"/>
    <w:rsid w:val="17701D14"/>
    <w:rsid w:val="17735226"/>
    <w:rsid w:val="17E50B9E"/>
    <w:rsid w:val="189F624C"/>
    <w:rsid w:val="19250F9C"/>
    <w:rsid w:val="19556EE3"/>
    <w:rsid w:val="19AC3AD3"/>
    <w:rsid w:val="19D77BCB"/>
    <w:rsid w:val="1A1C66C0"/>
    <w:rsid w:val="1A32248F"/>
    <w:rsid w:val="1A42393B"/>
    <w:rsid w:val="1AAD45DE"/>
    <w:rsid w:val="1B046F80"/>
    <w:rsid w:val="1B0F312F"/>
    <w:rsid w:val="1B3267B5"/>
    <w:rsid w:val="1B40161D"/>
    <w:rsid w:val="1B441859"/>
    <w:rsid w:val="1B6606B1"/>
    <w:rsid w:val="1C5E7925"/>
    <w:rsid w:val="1CC90BF4"/>
    <w:rsid w:val="1CFD070F"/>
    <w:rsid w:val="1D5F6196"/>
    <w:rsid w:val="1D6132A5"/>
    <w:rsid w:val="1D8E56D5"/>
    <w:rsid w:val="1E7A43DA"/>
    <w:rsid w:val="1EA77A73"/>
    <w:rsid w:val="1EC71C6D"/>
    <w:rsid w:val="1FE7539E"/>
    <w:rsid w:val="200D3B80"/>
    <w:rsid w:val="20671BE0"/>
    <w:rsid w:val="20963CB8"/>
    <w:rsid w:val="20A81A1B"/>
    <w:rsid w:val="20B07FB6"/>
    <w:rsid w:val="20B24B96"/>
    <w:rsid w:val="20B646FB"/>
    <w:rsid w:val="20C45579"/>
    <w:rsid w:val="213B74B1"/>
    <w:rsid w:val="215A2310"/>
    <w:rsid w:val="216C058A"/>
    <w:rsid w:val="219847C9"/>
    <w:rsid w:val="21DE318A"/>
    <w:rsid w:val="21EF5B80"/>
    <w:rsid w:val="22576990"/>
    <w:rsid w:val="22D84958"/>
    <w:rsid w:val="22F47480"/>
    <w:rsid w:val="23996EB0"/>
    <w:rsid w:val="23DE1C48"/>
    <w:rsid w:val="240210CD"/>
    <w:rsid w:val="247D1F43"/>
    <w:rsid w:val="24BF09F7"/>
    <w:rsid w:val="24C533F0"/>
    <w:rsid w:val="252D53FE"/>
    <w:rsid w:val="25EC2D81"/>
    <w:rsid w:val="262372E5"/>
    <w:rsid w:val="265B3BF9"/>
    <w:rsid w:val="269402D4"/>
    <w:rsid w:val="277057A2"/>
    <w:rsid w:val="27D43022"/>
    <w:rsid w:val="287704B3"/>
    <w:rsid w:val="28F35F91"/>
    <w:rsid w:val="290343AE"/>
    <w:rsid w:val="290B5219"/>
    <w:rsid w:val="290B7CCD"/>
    <w:rsid w:val="29206EB8"/>
    <w:rsid w:val="29595666"/>
    <w:rsid w:val="29874881"/>
    <w:rsid w:val="2990165F"/>
    <w:rsid w:val="29E325E0"/>
    <w:rsid w:val="2A452503"/>
    <w:rsid w:val="2B133794"/>
    <w:rsid w:val="2BA936A8"/>
    <w:rsid w:val="2C26152C"/>
    <w:rsid w:val="2C315A5A"/>
    <w:rsid w:val="2C4B1C25"/>
    <w:rsid w:val="2D3D787A"/>
    <w:rsid w:val="2D5E6829"/>
    <w:rsid w:val="2D851B98"/>
    <w:rsid w:val="2D9B45C1"/>
    <w:rsid w:val="2D9E56F5"/>
    <w:rsid w:val="2E4C0E29"/>
    <w:rsid w:val="2E667F96"/>
    <w:rsid w:val="2E8226AB"/>
    <w:rsid w:val="2EB86D47"/>
    <w:rsid w:val="2EBC0EAB"/>
    <w:rsid w:val="2F434E18"/>
    <w:rsid w:val="2F455512"/>
    <w:rsid w:val="2FD065E6"/>
    <w:rsid w:val="2FD96870"/>
    <w:rsid w:val="300E185E"/>
    <w:rsid w:val="303C40B8"/>
    <w:rsid w:val="30580BC9"/>
    <w:rsid w:val="3104083E"/>
    <w:rsid w:val="311E2ED7"/>
    <w:rsid w:val="315619EE"/>
    <w:rsid w:val="315C449C"/>
    <w:rsid w:val="319513A2"/>
    <w:rsid w:val="31B82709"/>
    <w:rsid w:val="31D05482"/>
    <w:rsid w:val="31D4775D"/>
    <w:rsid w:val="31F91E09"/>
    <w:rsid w:val="32373D24"/>
    <w:rsid w:val="323F3F83"/>
    <w:rsid w:val="32400B34"/>
    <w:rsid w:val="32506F7F"/>
    <w:rsid w:val="329E6876"/>
    <w:rsid w:val="33150F38"/>
    <w:rsid w:val="333015F2"/>
    <w:rsid w:val="33455E50"/>
    <w:rsid w:val="334B6320"/>
    <w:rsid w:val="33637B00"/>
    <w:rsid w:val="33D934D4"/>
    <w:rsid w:val="33FE2F6A"/>
    <w:rsid w:val="340E07E5"/>
    <w:rsid w:val="34235BF7"/>
    <w:rsid w:val="34476845"/>
    <w:rsid w:val="34CC1047"/>
    <w:rsid w:val="353510D5"/>
    <w:rsid w:val="354130EB"/>
    <w:rsid w:val="358C5FA8"/>
    <w:rsid w:val="35AF709C"/>
    <w:rsid w:val="35C15DF1"/>
    <w:rsid w:val="36074A7F"/>
    <w:rsid w:val="36923549"/>
    <w:rsid w:val="36B75FBF"/>
    <w:rsid w:val="36BD0C45"/>
    <w:rsid w:val="370032AA"/>
    <w:rsid w:val="378C0380"/>
    <w:rsid w:val="37E00298"/>
    <w:rsid w:val="383358CD"/>
    <w:rsid w:val="384F1252"/>
    <w:rsid w:val="38B302F9"/>
    <w:rsid w:val="38F12CD3"/>
    <w:rsid w:val="38F94775"/>
    <w:rsid w:val="392971ED"/>
    <w:rsid w:val="39325651"/>
    <w:rsid w:val="39783F10"/>
    <w:rsid w:val="3A424747"/>
    <w:rsid w:val="3A872856"/>
    <w:rsid w:val="3ACC1CC2"/>
    <w:rsid w:val="3B146D68"/>
    <w:rsid w:val="3B1F7501"/>
    <w:rsid w:val="3B2B110A"/>
    <w:rsid w:val="3B3763D1"/>
    <w:rsid w:val="3BB838D1"/>
    <w:rsid w:val="3BD93B15"/>
    <w:rsid w:val="3C280920"/>
    <w:rsid w:val="3C2F6E1E"/>
    <w:rsid w:val="3C4F64BA"/>
    <w:rsid w:val="3CB051A4"/>
    <w:rsid w:val="3CDA245A"/>
    <w:rsid w:val="3CE65E2F"/>
    <w:rsid w:val="3D1B750B"/>
    <w:rsid w:val="3D1E06B7"/>
    <w:rsid w:val="3E420C0D"/>
    <w:rsid w:val="3E670045"/>
    <w:rsid w:val="3EDA0523"/>
    <w:rsid w:val="40672B13"/>
    <w:rsid w:val="407A6407"/>
    <w:rsid w:val="4200449D"/>
    <w:rsid w:val="423A3BCC"/>
    <w:rsid w:val="424E57D2"/>
    <w:rsid w:val="42A04A4F"/>
    <w:rsid w:val="42AE164B"/>
    <w:rsid w:val="42B26C49"/>
    <w:rsid w:val="42EE393C"/>
    <w:rsid w:val="433A6FE6"/>
    <w:rsid w:val="43480868"/>
    <w:rsid w:val="4350713C"/>
    <w:rsid w:val="436653E0"/>
    <w:rsid w:val="437D5848"/>
    <w:rsid w:val="43C4431A"/>
    <w:rsid w:val="441F3A41"/>
    <w:rsid w:val="443D116D"/>
    <w:rsid w:val="444B7C32"/>
    <w:rsid w:val="447B4418"/>
    <w:rsid w:val="44B951CC"/>
    <w:rsid w:val="44CD14E0"/>
    <w:rsid w:val="44F20B0B"/>
    <w:rsid w:val="45083DA7"/>
    <w:rsid w:val="452E5F4C"/>
    <w:rsid w:val="45612018"/>
    <w:rsid w:val="4585533A"/>
    <w:rsid w:val="458946E9"/>
    <w:rsid w:val="45A47C0E"/>
    <w:rsid w:val="46194AD1"/>
    <w:rsid w:val="462660D0"/>
    <w:rsid w:val="46577FD6"/>
    <w:rsid w:val="46D955A7"/>
    <w:rsid w:val="47133957"/>
    <w:rsid w:val="47503102"/>
    <w:rsid w:val="475B4828"/>
    <w:rsid w:val="475D0DD1"/>
    <w:rsid w:val="478F5DB5"/>
    <w:rsid w:val="47A07E0C"/>
    <w:rsid w:val="486370DC"/>
    <w:rsid w:val="4870272E"/>
    <w:rsid w:val="490B54DB"/>
    <w:rsid w:val="492C3C17"/>
    <w:rsid w:val="493F2623"/>
    <w:rsid w:val="49DC7715"/>
    <w:rsid w:val="49E00CE0"/>
    <w:rsid w:val="4A023139"/>
    <w:rsid w:val="4A7B576F"/>
    <w:rsid w:val="4AEE2B4E"/>
    <w:rsid w:val="4AF561A9"/>
    <w:rsid w:val="4AFD0EC7"/>
    <w:rsid w:val="4B08477A"/>
    <w:rsid w:val="4B3A3169"/>
    <w:rsid w:val="4B555EE5"/>
    <w:rsid w:val="4B8B0B2F"/>
    <w:rsid w:val="4C04377B"/>
    <w:rsid w:val="4C4A0649"/>
    <w:rsid w:val="4C7740D6"/>
    <w:rsid w:val="4C7E5ECA"/>
    <w:rsid w:val="4C876AA5"/>
    <w:rsid w:val="4D0E00FB"/>
    <w:rsid w:val="4D176606"/>
    <w:rsid w:val="4D2D119A"/>
    <w:rsid w:val="4D4F3546"/>
    <w:rsid w:val="4DEC4FB0"/>
    <w:rsid w:val="4E071C72"/>
    <w:rsid w:val="4E075D8A"/>
    <w:rsid w:val="4E6B0915"/>
    <w:rsid w:val="4E6D4EF8"/>
    <w:rsid w:val="4E7949A6"/>
    <w:rsid w:val="4EB65E41"/>
    <w:rsid w:val="4EC00FAD"/>
    <w:rsid w:val="4EE66D71"/>
    <w:rsid w:val="4F5A6358"/>
    <w:rsid w:val="4F9843DC"/>
    <w:rsid w:val="4FC62A8C"/>
    <w:rsid w:val="4FE20F0D"/>
    <w:rsid w:val="4FE51552"/>
    <w:rsid w:val="50105A05"/>
    <w:rsid w:val="50504C4B"/>
    <w:rsid w:val="507C01D9"/>
    <w:rsid w:val="508C2258"/>
    <w:rsid w:val="509C6E7C"/>
    <w:rsid w:val="50F67788"/>
    <w:rsid w:val="5112540F"/>
    <w:rsid w:val="51577FA7"/>
    <w:rsid w:val="5162104E"/>
    <w:rsid w:val="51836C22"/>
    <w:rsid w:val="533A4B08"/>
    <w:rsid w:val="53511404"/>
    <w:rsid w:val="53A039CC"/>
    <w:rsid w:val="53A1505A"/>
    <w:rsid w:val="54063E08"/>
    <w:rsid w:val="542B0745"/>
    <w:rsid w:val="543437E8"/>
    <w:rsid w:val="54CF254E"/>
    <w:rsid w:val="54F73313"/>
    <w:rsid w:val="54F80955"/>
    <w:rsid w:val="555170A7"/>
    <w:rsid w:val="5587536D"/>
    <w:rsid w:val="5592588D"/>
    <w:rsid w:val="559B174B"/>
    <w:rsid w:val="55A6094F"/>
    <w:rsid w:val="55C61E85"/>
    <w:rsid w:val="55CE0CF4"/>
    <w:rsid w:val="56B22A9C"/>
    <w:rsid w:val="56BD74B7"/>
    <w:rsid w:val="56CE378D"/>
    <w:rsid w:val="56D0454C"/>
    <w:rsid w:val="57B72A76"/>
    <w:rsid w:val="57C3426C"/>
    <w:rsid w:val="57CE1F93"/>
    <w:rsid w:val="58125724"/>
    <w:rsid w:val="5859785F"/>
    <w:rsid w:val="586B1A62"/>
    <w:rsid w:val="58701AC2"/>
    <w:rsid w:val="588743D1"/>
    <w:rsid w:val="5887701A"/>
    <w:rsid w:val="58D65A04"/>
    <w:rsid w:val="591D7194"/>
    <w:rsid w:val="593E271B"/>
    <w:rsid w:val="59C0439F"/>
    <w:rsid w:val="59C43B9D"/>
    <w:rsid w:val="5ABE2233"/>
    <w:rsid w:val="5B284DBD"/>
    <w:rsid w:val="5BDF5D95"/>
    <w:rsid w:val="5BF4245C"/>
    <w:rsid w:val="5BFE7528"/>
    <w:rsid w:val="5E2467F1"/>
    <w:rsid w:val="5E6C06B1"/>
    <w:rsid w:val="5EAF0F1E"/>
    <w:rsid w:val="5F1A2B43"/>
    <w:rsid w:val="5F6D0F91"/>
    <w:rsid w:val="5F9123EF"/>
    <w:rsid w:val="5FB837BB"/>
    <w:rsid w:val="5FE97ECA"/>
    <w:rsid w:val="60151676"/>
    <w:rsid w:val="60CC405A"/>
    <w:rsid w:val="61C50639"/>
    <w:rsid w:val="61E215D8"/>
    <w:rsid w:val="621B3775"/>
    <w:rsid w:val="62364782"/>
    <w:rsid w:val="63516BCB"/>
    <w:rsid w:val="63593C27"/>
    <w:rsid w:val="6394356A"/>
    <w:rsid w:val="63A73C15"/>
    <w:rsid w:val="63C61B2C"/>
    <w:rsid w:val="63D40BE9"/>
    <w:rsid w:val="63FD3E43"/>
    <w:rsid w:val="64007C2F"/>
    <w:rsid w:val="64102431"/>
    <w:rsid w:val="64A5243A"/>
    <w:rsid w:val="64F531DE"/>
    <w:rsid w:val="65373578"/>
    <w:rsid w:val="656A3B2D"/>
    <w:rsid w:val="65920B93"/>
    <w:rsid w:val="65F305CB"/>
    <w:rsid w:val="66120F4F"/>
    <w:rsid w:val="664658F1"/>
    <w:rsid w:val="6656403D"/>
    <w:rsid w:val="66AA6E93"/>
    <w:rsid w:val="671F124A"/>
    <w:rsid w:val="677A33C6"/>
    <w:rsid w:val="678A5F4B"/>
    <w:rsid w:val="681F6961"/>
    <w:rsid w:val="685A4931"/>
    <w:rsid w:val="68605833"/>
    <w:rsid w:val="68610A2F"/>
    <w:rsid w:val="686D5736"/>
    <w:rsid w:val="68750EFA"/>
    <w:rsid w:val="68805514"/>
    <w:rsid w:val="689D0387"/>
    <w:rsid w:val="69316E2F"/>
    <w:rsid w:val="694E2071"/>
    <w:rsid w:val="696E1EF3"/>
    <w:rsid w:val="6975349E"/>
    <w:rsid w:val="69766163"/>
    <w:rsid w:val="697A3B33"/>
    <w:rsid w:val="69BC23AC"/>
    <w:rsid w:val="69D44760"/>
    <w:rsid w:val="6A520EC7"/>
    <w:rsid w:val="6A5D62A6"/>
    <w:rsid w:val="6A8B3F57"/>
    <w:rsid w:val="6A8E5773"/>
    <w:rsid w:val="6AAC534E"/>
    <w:rsid w:val="6AD42BB6"/>
    <w:rsid w:val="6AF87E20"/>
    <w:rsid w:val="6B322639"/>
    <w:rsid w:val="6C133DB8"/>
    <w:rsid w:val="6C636C38"/>
    <w:rsid w:val="6C9732B8"/>
    <w:rsid w:val="6D983849"/>
    <w:rsid w:val="6DB34098"/>
    <w:rsid w:val="6DB545B6"/>
    <w:rsid w:val="6DE02FB4"/>
    <w:rsid w:val="6E226C48"/>
    <w:rsid w:val="6E514CED"/>
    <w:rsid w:val="6E6C5CA0"/>
    <w:rsid w:val="6EB563D5"/>
    <w:rsid w:val="6ED92677"/>
    <w:rsid w:val="6F225983"/>
    <w:rsid w:val="6F3D43F4"/>
    <w:rsid w:val="6F5220E7"/>
    <w:rsid w:val="6FFC5590"/>
    <w:rsid w:val="70545536"/>
    <w:rsid w:val="706D1DD0"/>
    <w:rsid w:val="70856B87"/>
    <w:rsid w:val="70CF0EEA"/>
    <w:rsid w:val="70D527EE"/>
    <w:rsid w:val="70FA194F"/>
    <w:rsid w:val="7158725C"/>
    <w:rsid w:val="715B5300"/>
    <w:rsid w:val="71750E77"/>
    <w:rsid w:val="71D27F8A"/>
    <w:rsid w:val="725429BC"/>
    <w:rsid w:val="72553024"/>
    <w:rsid w:val="725C065A"/>
    <w:rsid w:val="72971C41"/>
    <w:rsid w:val="72B81119"/>
    <w:rsid w:val="73122968"/>
    <w:rsid w:val="731F5D5E"/>
    <w:rsid w:val="732B097A"/>
    <w:rsid w:val="73C51AD5"/>
    <w:rsid w:val="741E793C"/>
    <w:rsid w:val="744B07BD"/>
    <w:rsid w:val="74505703"/>
    <w:rsid w:val="745E3944"/>
    <w:rsid w:val="74DF58EB"/>
    <w:rsid w:val="758611FF"/>
    <w:rsid w:val="7635099D"/>
    <w:rsid w:val="766B5773"/>
    <w:rsid w:val="77762421"/>
    <w:rsid w:val="77A315A7"/>
    <w:rsid w:val="77B56B1F"/>
    <w:rsid w:val="780F09F4"/>
    <w:rsid w:val="78942255"/>
    <w:rsid w:val="78A90480"/>
    <w:rsid w:val="78D21884"/>
    <w:rsid w:val="79003FA4"/>
    <w:rsid w:val="79174210"/>
    <w:rsid w:val="79590666"/>
    <w:rsid w:val="7A1D2523"/>
    <w:rsid w:val="7A311CFD"/>
    <w:rsid w:val="7A364017"/>
    <w:rsid w:val="7A8265E1"/>
    <w:rsid w:val="7B686D42"/>
    <w:rsid w:val="7B841746"/>
    <w:rsid w:val="7C3F55FF"/>
    <w:rsid w:val="7C6C5AC7"/>
    <w:rsid w:val="7C7C5D0B"/>
    <w:rsid w:val="7CC6544B"/>
    <w:rsid w:val="7D0239FF"/>
    <w:rsid w:val="7D5E40CD"/>
    <w:rsid w:val="7DC641A4"/>
    <w:rsid w:val="7DCA4530"/>
    <w:rsid w:val="7DCD56F2"/>
    <w:rsid w:val="7E421380"/>
    <w:rsid w:val="7EEE41A2"/>
    <w:rsid w:val="7F001CE7"/>
    <w:rsid w:val="7F275CC6"/>
    <w:rsid w:val="7F7A5793"/>
    <w:rsid w:val="7FC85AC2"/>
    <w:rsid w:val="7FD14619"/>
    <w:rsid w:val="7FD63707"/>
    <w:rsid w:val="7FE47E50"/>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locked/>
    <w:uiPriority w:val="99"/>
    <w:pPr>
      <w:keepNext/>
      <w:overflowPunct w:val="0"/>
      <w:snapToGrid w:val="0"/>
      <w:spacing w:before="120" w:after="160" w:line="259" w:lineRule="auto"/>
      <w:ind w:left="432" w:hanging="432"/>
      <w:jc w:val="center"/>
      <w:outlineLvl w:val="0"/>
    </w:pPr>
    <w:rPr>
      <w:b/>
      <w:bCs/>
      <w:color w:val="000000"/>
      <w:kern w:val="44"/>
      <w:sz w:val="32"/>
      <w:szCs w:val="30"/>
    </w:rPr>
  </w:style>
  <w:style w:type="paragraph" w:styleId="4">
    <w:name w:val="heading 2"/>
    <w:basedOn w:val="1"/>
    <w:next w:val="1"/>
    <w:link w:val="31"/>
    <w:qFormat/>
    <w:locked/>
    <w:uiPriority w:val="0"/>
    <w:pPr>
      <w:keepNext/>
      <w:keepLines/>
      <w:spacing w:line="360" w:lineRule="auto"/>
      <w:outlineLvl w:val="1"/>
    </w:pPr>
    <w:rPr>
      <w:b/>
      <w:kern w:val="0"/>
      <w:sz w:val="28"/>
      <w:szCs w:val="20"/>
    </w:rPr>
  </w:style>
  <w:style w:type="paragraph" w:styleId="5">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6">
    <w:name w:val="heading 4"/>
    <w:basedOn w:val="1"/>
    <w:next w:val="1"/>
    <w:qFormat/>
    <w:locked/>
    <w:uiPriority w:val="0"/>
    <w:pPr>
      <w:keepNext/>
      <w:keepLines/>
      <w:spacing w:before="280" w:after="290" w:line="372" w:lineRule="auto"/>
      <w:outlineLvl w:val="3"/>
    </w:pPr>
    <w:rPr>
      <w:rFonts w:ascii="Arial" w:hAnsi="Arial" w:eastAsia="黑体"/>
      <w:b/>
      <w:bCs/>
      <w:kern w:val="0"/>
      <w:sz w:val="28"/>
      <w:szCs w:val="28"/>
    </w:rPr>
  </w:style>
  <w:style w:type="paragraph" w:styleId="7">
    <w:name w:val="heading 5"/>
    <w:basedOn w:val="1"/>
    <w:next w:val="8"/>
    <w:qFormat/>
    <w:locked/>
    <w:uiPriority w:val="0"/>
    <w:pPr>
      <w:keepNext/>
      <w:keepLines/>
      <w:spacing w:before="280" w:after="290" w:line="376" w:lineRule="auto"/>
      <w:outlineLvl w:val="4"/>
    </w:pPr>
    <w:rPr>
      <w:b/>
      <w:bCs/>
      <w:kern w:val="0"/>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0"/>
    <w:pPr>
      <w:widowControl/>
      <w:snapToGrid w:val="0"/>
      <w:spacing w:line="360" w:lineRule="auto"/>
      <w:ind w:firstLine="720" w:firstLineChars="200"/>
    </w:pPr>
    <w:rPr>
      <w:kern w:val="0"/>
      <w:sz w:val="24"/>
      <w:szCs w:val="20"/>
    </w:rPr>
  </w:style>
  <w:style w:type="paragraph" w:styleId="8">
    <w:name w:val="Normal Indent"/>
    <w:basedOn w:val="1"/>
    <w:next w:val="9"/>
    <w:qFormat/>
    <w:locked/>
    <w:uiPriority w:val="0"/>
    <w:pPr>
      <w:ind w:firstLine="420" w:firstLineChars="200"/>
    </w:pPr>
    <w:rPr>
      <w:kern w:val="0"/>
      <w:sz w:val="20"/>
    </w:rPr>
  </w:style>
  <w:style w:type="paragraph" w:customStyle="1" w:styleId="9">
    <w:name w:val="_正文格式"/>
    <w:basedOn w:val="1"/>
    <w:qFormat/>
    <w:uiPriority w:val="0"/>
    <w:pPr>
      <w:spacing w:line="480" w:lineRule="exact"/>
      <w:ind w:firstLine="567"/>
    </w:pPr>
    <w:rPr>
      <w:rFonts w:eastAsia="FangSong_GB2312"/>
      <w:sz w:val="28"/>
    </w:rPr>
  </w:style>
  <w:style w:type="paragraph" w:styleId="10">
    <w:name w:val="annotation text"/>
    <w:basedOn w:val="1"/>
    <w:link w:val="32"/>
    <w:semiHidden/>
    <w:qFormat/>
    <w:uiPriority w:val="0"/>
    <w:pPr>
      <w:jc w:val="left"/>
    </w:pPr>
    <w:rPr>
      <w:kern w:val="0"/>
      <w:sz w:val="24"/>
      <w:szCs w:val="20"/>
    </w:rPr>
  </w:style>
  <w:style w:type="paragraph" w:styleId="11">
    <w:name w:val="Body Text Indent"/>
    <w:basedOn w:val="1"/>
    <w:link w:val="33"/>
    <w:qFormat/>
    <w:uiPriority w:val="0"/>
    <w:pPr>
      <w:spacing w:after="120"/>
      <w:ind w:left="420" w:leftChars="200"/>
    </w:pPr>
    <w:rPr>
      <w:kern w:val="0"/>
      <w:sz w:val="24"/>
      <w:szCs w:val="20"/>
    </w:rPr>
  </w:style>
  <w:style w:type="paragraph" w:styleId="12">
    <w:name w:val="Date"/>
    <w:basedOn w:val="1"/>
    <w:next w:val="1"/>
    <w:link w:val="34"/>
    <w:qFormat/>
    <w:uiPriority w:val="0"/>
    <w:pPr>
      <w:ind w:left="100" w:leftChars="2500"/>
    </w:pPr>
    <w:rPr>
      <w:kern w:val="0"/>
      <w:sz w:val="24"/>
      <w:szCs w:val="20"/>
    </w:rPr>
  </w:style>
  <w:style w:type="paragraph" w:styleId="13">
    <w:name w:val="Body Text Indent 2"/>
    <w:basedOn w:val="1"/>
    <w:next w:val="1"/>
    <w:qFormat/>
    <w:locked/>
    <w:uiPriority w:val="0"/>
    <w:pPr>
      <w:spacing w:after="120" w:line="480" w:lineRule="auto"/>
      <w:ind w:left="420" w:leftChars="200"/>
    </w:pPr>
    <w:rPr>
      <w:kern w:val="0"/>
      <w:sz w:val="20"/>
    </w:rPr>
  </w:style>
  <w:style w:type="paragraph" w:styleId="14">
    <w:name w:val="Balloon Text"/>
    <w:basedOn w:val="1"/>
    <w:link w:val="35"/>
    <w:semiHidden/>
    <w:qFormat/>
    <w:uiPriority w:val="0"/>
    <w:rPr>
      <w:kern w:val="0"/>
      <w:sz w:val="18"/>
      <w:szCs w:val="20"/>
    </w:rPr>
  </w:style>
  <w:style w:type="paragraph" w:styleId="15">
    <w:name w:val="footer"/>
    <w:basedOn w:val="1"/>
    <w:link w:val="36"/>
    <w:qFormat/>
    <w:uiPriority w:val="99"/>
    <w:pPr>
      <w:tabs>
        <w:tab w:val="center" w:pos="4153"/>
        <w:tab w:val="right" w:pos="8306"/>
      </w:tabs>
      <w:snapToGrid w:val="0"/>
      <w:jc w:val="left"/>
    </w:pPr>
    <w:rPr>
      <w:kern w:val="0"/>
      <w:sz w:val="18"/>
      <w:szCs w:val="20"/>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locked/>
    <w:uiPriority w:val="39"/>
  </w:style>
  <w:style w:type="paragraph" w:styleId="18">
    <w:name w:val="Body Text 2"/>
    <w:basedOn w:val="1"/>
    <w:link w:val="57"/>
    <w:qFormat/>
    <w:locked/>
    <w:uiPriority w:val="99"/>
    <w:pPr>
      <w:spacing w:after="120" w:line="480" w:lineRule="auto"/>
    </w:pPr>
  </w:style>
  <w:style w:type="paragraph" w:styleId="19">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10"/>
    <w:next w:val="10"/>
    <w:link w:val="39"/>
    <w:semiHidden/>
    <w:qFormat/>
    <w:uiPriority w:val="0"/>
    <w:rPr>
      <w:b/>
      <w:kern w:val="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locked/>
    <w:uiPriority w:val="0"/>
    <w:rPr>
      <w:b/>
    </w:rPr>
  </w:style>
  <w:style w:type="character" w:styleId="25">
    <w:name w:val="page number"/>
    <w:basedOn w:val="23"/>
    <w:qFormat/>
    <w:locked/>
    <w:uiPriority w:val="0"/>
  </w:style>
  <w:style w:type="character" w:styleId="26">
    <w:name w:val="Hyperlink"/>
    <w:qFormat/>
    <w:locked/>
    <w:uiPriority w:val="0"/>
    <w:rPr>
      <w:color w:val="0000FF"/>
      <w:u w:val="single"/>
    </w:rPr>
  </w:style>
  <w:style w:type="character" w:styleId="27">
    <w:name w:val="annotation reference"/>
    <w:semiHidden/>
    <w:qFormat/>
    <w:uiPriority w:val="0"/>
    <w:rPr>
      <w:sz w:val="21"/>
    </w:rPr>
  </w:style>
  <w:style w:type="paragraph" w:customStyle="1" w:styleId="28">
    <w:name w:val="正文1"/>
    <w:basedOn w:val="1"/>
    <w:qFormat/>
    <w:uiPriority w:val="0"/>
    <w:pPr>
      <w:spacing w:beforeLines="50" w:afterLines="50" w:line="324" w:lineRule="auto"/>
      <w:ind w:firstLine="480"/>
    </w:pPr>
    <w:rPr>
      <w:sz w:val="24"/>
      <w:szCs w:val="22"/>
    </w:rPr>
  </w:style>
  <w:style w:type="character" w:customStyle="1" w:styleId="29">
    <w:name w:val="正文文本 Char"/>
    <w:link w:val="2"/>
    <w:qFormat/>
    <w:locked/>
    <w:uiPriority w:val="0"/>
    <w:rPr>
      <w:rFonts w:ascii="Times New Roman" w:hAnsi="Times New Roman" w:eastAsia="宋体"/>
      <w:sz w:val="24"/>
    </w:rPr>
  </w:style>
  <w:style w:type="character" w:customStyle="1" w:styleId="30">
    <w:name w:val="标题 1 Char"/>
    <w:link w:val="3"/>
    <w:qFormat/>
    <w:uiPriority w:val="99"/>
    <w:rPr>
      <w:rFonts w:ascii="Times New Roman" w:hAnsi="Times New Roman" w:eastAsia="宋体"/>
      <w:b/>
      <w:bCs/>
      <w:color w:val="000000"/>
      <w:kern w:val="44"/>
      <w:sz w:val="32"/>
      <w:szCs w:val="30"/>
    </w:rPr>
  </w:style>
  <w:style w:type="character" w:customStyle="1" w:styleId="31">
    <w:name w:val="标题 2 Char"/>
    <w:link w:val="4"/>
    <w:qFormat/>
    <w:uiPriority w:val="0"/>
    <w:rPr>
      <w:rFonts w:ascii="Times New Roman" w:hAnsi="Times New Roman" w:eastAsia="宋体"/>
      <w:b/>
      <w:sz w:val="28"/>
    </w:rPr>
  </w:style>
  <w:style w:type="character" w:customStyle="1" w:styleId="32">
    <w:name w:val="批注文字 Char"/>
    <w:link w:val="10"/>
    <w:qFormat/>
    <w:locked/>
    <w:uiPriority w:val="0"/>
    <w:rPr>
      <w:rFonts w:ascii="Times New Roman" w:hAnsi="Times New Roman" w:eastAsia="宋体"/>
      <w:sz w:val="24"/>
    </w:rPr>
  </w:style>
  <w:style w:type="character" w:customStyle="1" w:styleId="33">
    <w:name w:val="正文文本缩进 Char"/>
    <w:link w:val="11"/>
    <w:semiHidden/>
    <w:qFormat/>
    <w:locked/>
    <w:uiPriority w:val="0"/>
    <w:rPr>
      <w:rFonts w:ascii="Times New Roman" w:hAnsi="Times New Roman" w:eastAsia="宋体"/>
      <w:sz w:val="24"/>
    </w:rPr>
  </w:style>
  <w:style w:type="character" w:customStyle="1" w:styleId="34">
    <w:name w:val="日期 Char"/>
    <w:link w:val="12"/>
    <w:qFormat/>
    <w:locked/>
    <w:uiPriority w:val="0"/>
    <w:rPr>
      <w:rFonts w:ascii="Times New Roman" w:hAnsi="Times New Roman" w:eastAsia="宋体"/>
      <w:sz w:val="24"/>
    </w:rPr>
  </w:style>
  <w:style w:type="character" w:customStyle="1" w:styleId="35">
    <w:name w:val="批注框文本 Char"/>
    <w:link w:val="14"/>
    <w:semiHidden/>
    <w:qFormat/>
    <w:locked/>
    <w:uiPriority w:val="0"/>
    <w:rPr>
      <w:rFonts w:ascii="Times New Roman" w:hAnsi="Times New Roman" w:eastAsia="宋体"/>
      <w:sz w:val="18"/>
    </w:rPr>
  </w:style>
  <w:style w:type="character" w:customStyle="1" w:styleId="36">
    <w:name w:val="页脚 Char"/>
    <w:link w:val="15"/>
    <w:qFormat/>
    <w:locked/>
    <w:uiPriority w:val="99"/>
    <w:rPr>
      <w:sz w:val="18"/>
    </w:rPr>
  </w:style>
  <w:style w:type="character" w:customStyle="1" w:styleId="37">
    <w:name w:val="页眉 Char"/>
    <w:link w:val="16"/>
    <w:qFormat/>
    <w:locked/>
    <w:uiPriority w:val="0"/>
    <w:rPr>
      <w:sz w:val="18"/>
    </w:rPr>
  </w:style>
  <w:style w:type="character" w:customStyle="1" w:styleId="38">
    <w:name w:val="普通(网站) Char"/>
    <w:link w:val="19"/>
    <w:qFormat/>
    <w:locked/>
    <w:uiPriority w:val="0"/>
    <w:rPr>
      <w:rFonts w:ascii="宋体" w:hAnsi="宋体" w:eastAsia="宋体"/>
      <w:sz w:val="24"/>
    </w:rPr>
  </w:style>
  <w:style w:type="character" w:customStyle="1" w:styleId="39">
    <w:name w:val="批注主题 Char"/>
    <w:link w:val="20"/>
    <w:semiHidden/>
    <w:qFormat/>
    <w:locked/>
    <w:uiPriority w:val="0"/>
    <w:rPr>
      <w:rFonts w:ascii="Times New Roman" w:hAnsi="Times New Roman" w:eastAsia="宋体"/>
      <w:b/>
      <w:kern w:val="2"/>
      <w:sz w:val="24"/>
    </w:rPr>
  </w:style>
  <w:style w:type="character" w:customStyle="1" w:styleId="40">
    <w:name w:val="表格内容 Char"/>
    <w:link w:val="41"/>
    <w:qFormat/>
    <w:uiPriority w:val="0"/>
    <w:rPr>
      <w:rFonts w:cs="Times New Roman"/>
      <w:sz w:val="21"/>
      <w:szCs w:val="22"/>
    </w:rPr>
  </w:style>
  <w:style w:type="paragraph" w:customStyle="1" w:styleId="41">
    <w:name w:val="表格内容"/>
    <w:basedOn w:val="1"/>
    <w:next w:val="1"/>
    <w:link w:val="40"/>
    <w:qFormat/>
    <w:uiPriority w:val="0"/>
    <w:pPr>
      <w:adjustRightInd w:val="0"/>
      <w:snapToGrid w:val="0"/>
      <w:jc w:val="center"/>
    </w:pPr>
    <w:rPr>
      <w:kern w:val="0"/>
      <w:szCs w:val="22"/>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页脚 字符"/>
    <w:basedOn w:val="23"/>
    <w:qFormat/>
    <w:uiPriority w:val="99"/>
  </w:style>
  <w:style w:type="character" w:customStyle="1" w:styleId="47">
    <w:name w:val="日期 字符"/>
    <w:semiHidden/>
    <w:qFormat/>
    <w:uiPriority w:val="0"/>
    <w:rPr>
      <w:rFonts w:ascii="Times New Roman" w:hAnsi="Times New Roman" w:eastAsia="宋体"/>
      <w:sz w:val="24"/>
    </w:rPr>
  </w:style>
  <w:style w:type="paragraph" w:customStyle="1" w:styleId="48">
    <w:name w:val="正文4号"/>
    <w:qFormat/>
    <w:uiPriority w:val="0"/>
    <w:pPr>
      <w:widowControl w:val="0"/>
      <w:adjustRightInd w:val="0"/>
      <w:snapToGrid w:val="0"/>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标题5-ckg"/>
    <w:basedOn w:val="7"/>
    <w:qFormat/>
    <w:uiPriority w:val="0"/>
    <w:pPr>
      <w:tabs>
        <w:tab w:val="left" w:pos="700"/>
      </w:tabs>
      <w:autoSpaceDE w:val="0"/>
      <w:autoSpaceDN w:val="0"/>
      <w:spacing w:before="0" w:after="0" w:line="460" w:lineRule="exact"/>
      <w:jc w:val="center"/>
    </w:pPr>
    <w:rPr>
      <w:bCs w:val="0"/>
      <w:kern w:val="2"/>
      <w:sz w:val="24"/>
      <w:szCs w:val="21"/>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表内文字1"/>
    <w:basedOn w:val="1"/>
    <w:qFormat/>
    <w:uiPriority w:val="0"/>
    <w:pPr>
      <w:adjustRightInd w:val="0"/>
      <w:snapToGrid w:val="0"/>
      <w:jc w:val="center"/>
    </w:pPr>
    <w:rPr>
      <w:snapToGrid w:val="0"/>
      <w:kern w:val="0"/>
      <w:szCs w:val="20"/>
    </w:rPr>
  </w:style>
  <w:style w:type="paragraph" w:customStyle="1" w:styleId="53">
    <w:name w:val="表格文字"/>
    <w:basedOn w:val="1"/>
    <w:qFormat/>
    <w:uiPriority w:val="0"/>
    <w:pPr>
      <w:widowControl/>
      <w:adjustRightInd w:val="0"/>
      <w:jc w:val="center"/>
    </w:pPr>
    <w:rPr>
      <w:snapToGrid w:val="0"/>
      <w:kern w:val="0"/>
      <w:szCs w:val="21"/>
    </w:rPr>
  </w:style>
  <w:style w:type="paragraph" w:customStyle="1" w:styleId="54">
    <w:name w:val="表格内-ckg"/>
    <w:qFormat/>
    <w:uiPriority w:val="0"/>
    <w:pPr>
      <w:jc w:val="center"/>
    </w:pPr>
    <w:rPr>
      <w:rFonts w:ascii="Times New Roman" w:hAnsi="Times New Roman" w:eastAsia="宋体" w:cs="Times New Roman"/>
      <w:color w:val="000000"/>
      <w:sz w:val="21"/>
      <w:szCs w:val="22"/>
      <w:lang w:val="en-US" w:eastAsia="zh-CN" w:bidi="ar-SA"/>
    </w:rPr>
  </w:style>
  <w:style w:type="paragraph" w:customStyle="1" w:styleId="5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56">
    <w:name w:val="表格中文字"/>
    <w:qFormat/>
    <w:uiPriority w:val="0"/>
    <w:pPr>
      <w:jc w:val="center"/>
    </w:pPr>
    <w:rPr>
      <w:rFonts w:ascii="Times New Roman" w:hAnsi="宋体" w:eastAsia="宋体" w:cs="Times New Roman"/>
      <w:kern w:val="18"/>
      <w:sz w:val="24"/>
      <w:szCs w:val="24"/>
      <w:lang w:val="en-US" w:eastAsia="zh-CN" w:bidi="ar-SA"/>
    </w:rPr>
  </w:style>
  <w:style w:type="character" w:customStyle="1" w:styleId="57">
    <w:name w:val="正文文本 2 Char"/>
    <w:link w:val="18"/>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e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2"/>
    <customShpInfo spid="_x0000_s2051"/>
    <customShpInfo spid="_x0000_s2050"/>
    <customShpInfo spid="_x0000_s2049"/>
    <customShpInfo spid="_x0000_s1026"/>
    <customShpInfo spid="_x0000_s1028"/>
    <customShpInfo spid="_x0000_s1029"/>
    <customShpInfo spid="_x0000_s1103"/>
    <customShpInfo spid="_x0000_s1097"/>
    <customShpInfo spid="_x0000_s1077"/>
    <customShpInfo spid="_x0000_s1080"/>
    <customShpInfo spid="_x0000_s1096"/>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94"/>
    <customShpInfo spid="_x0000_s1081"/>
    <customShpInfo spid="_x0000_s1104"/>
    <customShpInfo spid="_x0000_s111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5D1051-87D2-4690-95A5-827A0BCD3201}">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69</Pages>
  <Words>23349</Words>
  <Characters>27347</Characters>
  <Lines>214</Lines>
  <Paragraphs>60</Paragraphs>
  <TotalTime>5</TotalTime>
  <ScaleCrop>false</ScaleCrop>
  <LinksUpToDate>false</LinksUpToDate>
  <CharactersWithSpaces>27677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做事作人</cp:lastModifiedBy>
  <cp:lastPrinted>2021-08-31T01:23:00Z</cp:lastPrinted>
  <dcterms:modified xsi:type="dcterms:W3CDTF">2021-11-08T06:28:27Z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DB5CAEAE322E4DE887E675C1D0062808</vt:lpwstr>
  </property>
</Properties>
</file>