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5"/>
        <w:spacing w:after="156" w:afterLines="50" w:line="240" w:lineRule="auto"/>
        <w:ind w:firstLine="640"/>
        <w:rPr>
          <w:rFonts w:ascii="Times New Roman" w:hAnsi="Times New Roman"/>
          <w:sz w:val="32"/>
          <w:szCs w:val="32"/>
        </w:rPr>
      </w:pPr>
      <w:bookmarkStart w:id="0" w:name="_Toc414117644"/>
    </w:p>
    <w:p>
      <w:pPr>
        <w:pStyle w:val="145"/>
        <w:spacing w:after="156" w:afterLines="50" w:line="240" w:lineRule="auto"/>
        <w:ind w:firstLine="1040"/>
        <w:rPr>
          <w:rFonts w:ascii="Times New Roman" w:hAnsi="Times New Roman"/>
          <w:sz w:val="32"/>
          <w:szCs w:val="32"/>
        </w:rPr>
      </w:pPr>
      <w:r>
        <w:rPr>
          <w:sz w:val="52"/>
          <w:szCs w:val="52"/>
        </w:rPr>
        <w:drawing>
          <wp:inline distT="0" distB="0" distL="0" distR="0">
            <wp:extent cx="1257300" cy="1095375"/>
            <wp:effectExtent l="0" t="0" r="0" b="9525"/>
            <wp:docPr id="127" name="图片 6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6736"/>
                    <pic:cNvPicPr>
                      <a:picLocks noChangeAspect="1" noChangeArrowheads="1"/>
                    </pic:cNvPicPr>
                  </pic:nvPicPr>
                  <pic:blipFill>
                    <a:blip r:embed="rId12"/>
                    <a:srcRect/>
                    <a:stretch>
                      <a:fillRect/>
                    </a:stretch>
                  </pic:blipFill>
                  <pic:spPr>
                    <a:xfrm>
                      <a:off x="0" y="0"/>
                      <a:ext cx="1257300" cy="1095375"/>
                    </a:xfrm>
                    <a:prstGeom prst="rect">
                      <a:avLst/>
                    </a:prstGeom>
                    <a:noFill/>
                    <a:ln>
                      <a:noFill/>
                    </a:ln>
                  </pic:spPr>
                </pic:pic>
              </a:graphicData>
            </a:graphic>
          </wp:inline>
        </w:drawing>
      </w:r>
    </w:p>
    <w:p>
      <w:pPr>
        <w:pStyle w:val="145"/>
        <w:spacing w:after="156" w:afterLines="50"/>
        <w:ind w:firstLine="640"/>
        <w:rPr>
          <w:rFonts w:ascii="Times New Roman" w:hAnsi="Times New Roman"/>
          <w:sz w:val="32"/>
          <w:szCs w:val="32"/>
        </w:rPr>
      </w:pPr>
    </w:p>
    <w:p>
      <w:pPr>
        <w:pStyle w:val="145"/>
        <w:spacing w:line="360" w:lineRule="auto"/>
        <w:ind w:firstLine="0" w:firstLineChars="0"/>
        <w:jc w:val="center"/>
        <w:rPr>
          <w:rFonts w:ascii="Times New Roman" w:hAnsi="Times New Roman"/>
          <w:b/>
          <w:kern w:val="2"/>
          <w:sz w:val="48"/>
          <w:szCs w:val="48"/>
        </w:rPr>
      </w:pPr>
      <w:r>
        <w:rPr>
          <w:rFonts w:ascii="Times New Roman" w:hAnsi="Times New Roman"/>
          <w:b/>
          <w:kern w:val="2"/>
          <w:sz w:val="48"/>
          <w:szCs w:val="48"/>
        </w:rPr>
        <w:t>金华市婺城区婺城新区单元(ZX-15-01-19)地块第一阶段土壤污染状况调查报告</w:t>
      </w:r>
    </w:p>
    <w:p>
      <w:pPr>
        <w:pStyle w:val="145"/>
        <w:spacing w:line="360" w:lineRule="auto"/>
        <w:ind w:firstLine="0" w:firstLineChars="0"/>
        <w:jc w:val="center"/>
        <w:rPr>
          <w:rFonts w:hint="eastAsia" w:ascii="Times New Roman" w:hAnsi="Times New Roman" w:eastAsia="宋体"/>
          <w:b/>
          <w:kern w:val="2"/>
          <w:sz w:val="48"/>
          <w:szCs w:val="48"/>
          <w:lang w:eastAsia="zh-CN"/>
        </w:rPr>
      </w:pPr>
      <w:r>
        <w:rPr>
          <w:rFonts w:hint="eastAsia" w:ascii="Times New Roman" w:hAnsi="Times New Roman"/>
          <w:b/>
          <w:kern w:val="2"/>
          <w:sz w:val="48"/>
          <w:szCs w:val="48"/>
          <w:lang w:eastAsia="zh-CN"/>
        </w:rPr>
        <w:t>（</w:t>
      </w:r>
      <w:r>
        <w:rPr>
          <w:rFonts w:hint="eastAsia" w:ascii="Times New Roman" w:hAnsi="Times New Roman"/>
          <w:b/>
          <w:kern w:val="2"/>
          <w:sz w:val="48"/>
          <w:szCs w:val="48"/>
          <w:lang w:val="en-US" w:eastAsia="zh-CN"/>
        </w:rPr>
        <w:t>备案稿</w:t>
      </w:r>
      <w:r>
        <w:rPr>
          <w:rFonts w:hint="eastAsia" w:ascii="Times New Roman" w:hAnsi="Times New Roman"/>
          <w:b/>
          <w:kern w:val="2"/>
          <w:sz w:val="48"/>
          <w:szCs w:val="48"/>
          <w:lang w:eastAsia="zh-CN"/>
        </w:rPr>
        <w:t>）</w:t>
      </w:r>
    </w:p>
    <w:p>
      <w:pPr>
        <w:pStyle w:val="145"/>
        <w:spacing w:after="156" w:afterLines="50"/>
        <w:ind w:firstLine="640"/>
        <w:rPr>
          <w:rFonts w:ascii="Times New Roman" w:hAnsi="Times New Roman"/>
          <w:sz w:val="32"/>
          <w:szCs w:val="32"/>
        </w:rPr>
      </w:pPr>
    </w:p>
    <w:p>
      <w:pPr>
        <w:pStyle w:val="145"/>
        <w:spacing w:after="156" w:afterLines="50"/>
        <w:ind w:firstLine="640"/>
        <w:rPr>
          <w:rFonts w:ascii="Times New Roman" w:hAnsi="Times New Roman"/>
          <w:sz w:val="32"/>
          <w:szCs w:val="32"/>
        </w:rPr>
      </w:pPr>
    </w:p>
    <w:p>
      <w:pPr>
        <w:pStyle w:val="145"/>
        <w:spacing w:after="156" w:afterLines="50"/>
        <w:ind w:firstLine="640"/>
        <w:rPr>
          <w:rFonts w:ascii="Times New Roman" w:hAnsi="Times New Roman"/>
          <w:sz w:val="32"/>
          <w:szCs w:val="32"/>
        </w:rPr>
      </w:pPr>
    </w:p>
    <w:p>
      <w:pPr>
        <w:pStyle w:val="145"/>
        <w:spacing w:after="156" w:afterLines="50"/>
        <w:ind w:firstLine="640"/>
        <w:rPr>
          <w:rFonts w:ascii="Times New Roman" w:hAnsi="Times New Roman"/>
          <w:sz w:val="32"/>
          <w:szCs w:val="32"/>
        </w:rPr>
      </w:pPr>
    </w:p>
    <w:p>
      <w:pPr>
        <w:pStyle w:val="145"/>
        <w:spacing w:after="156" w:afterLines="50"/>
        <w:ind w:firstLine="640"/>
        <w:rPr>
          <w:rFonts w:ascii="Times New Roman" w:hAnsi="Times New Roman"/>
          <w:sz w:val="32"/>
          <w:szCs w:val="32"/>
        </w:rPr>
      </w:pPr>
    </w:p>
    <w:p>
      <w:pPr>
        <w:pStyle w:val="145"/>
        <w:spacing w:after="156" w:afterLines="50"/>
        <w:ind w:firstLine="640"/>
        <w:rPr>
          <w:rFonts w:ascii="Times New Roman" w:hAnsi="Times New Roman"/>
          <w:sz w:val="32"/>
          <w:szCs w:val="32"/>
        </w:rPr>
      </w:pPr>
    </w:p>
    <w:p>
      <w:pPr>
        <w:pStyle w:val="145"/>
        <w:spacing w:after="156" w:afterLines="50"/>
        <w:ind w:firstLine="640"/>
        <w:rPr>
          <w:rFonts w:ascii="Times New Roman" w:hAnsi="Times New Roman"/>
          <w:sz w:val="32"/>
          <w:szCs w:val="32"/>
        </w:rPr>
      </w:pPr>
    </w:p>
    <w:p>
      <w:pPr>
        <w:pStyle w:val="145"/>
        <w:spacing w:after="156" w:afterLines="50"/>
        <w:ind w:firstLine="640"/>
        <w:rPr>
          <w:rFonts w:ascii="Times New Roman" w:hAnsi="Times New Roman"/>
          <w:sz w:val="32"/>
          <w:szCs w:val="32"/>
        </w:rPr>
      </w:pPr>
    </w:p>
    <w:p>
      <w:pPr>
        <w:pStyle w:val="145"/>
        <w:spacing w:after="156" w:afterLines="50"/>
        <w:ind w:firstLine="640"/>
        <w:rPr>
          <w:rFonts w:ascii="Times New Roman" w:hAnsi="Times New Roman"/>
          <w:sz w:val="32"/>
          <w:szCs w:val="32"/>
        </w:rPr>
      </w:pPr>
    </w:p>
    <w:p>
      <w:pPr>
        <w:pStyle w:val="145"/>
        <w:spacing w:after="156" w:afterLines="50"/>
        <w:ind w:firstLine="640"/>
        <w:rPr>
          <w:rFonts w:ascii="Times New Roman" w:hAnsi="Times New Roman"/>
          <w:sz w:val="32"/>
          <w:szCs w:val="32"/>
        </w:rPr>
      </w:pPr>
    </w:p>
    <w:p>
      <w:pPr>
        <w:pStyle w:val="145"/>
        <w:spacing w:after="156" w:afterLines="50"/>
        <w:ind w:firstLine="640"/>
        <w:rPr>
          <w:rFonts w:ascii="Times New Roman" w:hAnsi="Times New Roman"/>
          <w:sz w:val="32"/>
          <w:szCs w:val="32"/>
        </w:rPr>
      </w:pPr>
    </w:p>
    <w:p>
      <w:pPr>
        <w:pStyle w:val="145"/>
        <w:spacing w:after="156" w:afterLines="50"/>
        <w:ind w:firstLine="640"/>
        <w:rPr>
          <w:rFonts w:ascii="Times New Roman" w:hAnsi="Times New Roman"/>
          <w:sz w:val="32"/>
          <w:szCs w:val="32"/>
        </w:rPr>
      </w:pPr>
    </w:p>
    <w:p>
      <w:pPr>
        <w:pStyle w:val="2"/>
        <w:jc w:val="center"/>
        <w:rPr>
          <w:rFonts w:ascii="Times New Roman" w:hAnsi="Times New Roman"/>
          <w:b/>
          <w:bCs/>
          <w:sz w:val="32"/>
          <w:szCs w:val="32"/>
        </w:rPr>
      </w:pPr>
      <w:r>
        <w:rPr>
          <w:rFonts w:ascii="Times New Roman" w:hAnsi="Times New Roman"/>
          <w:b/>
          <w:bCs/>
          <w:sz w:val="32"/>
          <w:szCs w:val="32"/>
        </w:rPr>
        <w:t>浙江环耀环境建设有限公司</w:t>
      </w:r>
    </w:p>
    <w:p>
      <w:pPr>
        <w:pStyle w:val="145"/>
        <w:spacing w:after="156" w:afterLines="50"/>
        <w:ind w:firstLine="0" w:firstLineChars="0"/>
        <w:jc w:val="center"/>
        <w:rPr>
          <w:rFonts w:ascii="Times New Roman" w:hAnsi="Times New Roman"/>
          <w:sz w:val="32"/>
          <w:szCs w:val="32"/>
        </w:rPr>
      </w:pPr>
      <w:r>
        <w:rPr>
          <w:rFonts w:ascii="Times New Roman" w:hAnsi="Times New Roman"/>
          <w:b/>
          <w:sz w:val="32"/>
          <w:szCs w:val="32"/>
        </w:rPr>
        <w:t>二〇二三年</w:t>
      </w:r>
      <w:r>
        <w:rPr>
          <w:rFonts w:hint="eastAsia" w:ascii="Times New Roman" w:hAnsi="Times New Roman"/>
          <w:b/>
          <w:sz w:val="32"/>
          <w:szCs w:val="32"/>
        </w:rPr>
        <w:t>十一</w:t>
      </w:r>
      <w:r>
        <w:rPr>
          <w:rFonts w:ascii="Times New Roman" w:hAnsi="Times New Roman"/>
          <w:b/>
          <w:sz w:val="32"/>
          <w:szCs w:val="32"/>
        </w:rPr>
        <w:t>月</w:t>
      </w:r>
    </w:p>
    <w:p>
      <w:pPr>
        <w:pStyle w:val="145"/>
        <w:spacing w:after="156" w:afterLines="50"/>
        <w:ind w:firstLine="640"/>
        <w:jc w:val="center"/>
        <w:rPr>
          <w:rFonts w:ascii="Times New Roman" w:hAnsi="Times New Roman"/>
          <w:sz w:val="32"/>
          <w:szCs w:val="32"/>
        </w:rPr>
        <w:sectPr>
          <w:headerReference r:id="rId3" w:type="default"/>
          <w:pgSz w:w="11906" w:h="16838"/>
          <w:pgMar w:top="1418" w:right="1418" w:bottom="1418" w:left="1418" w:header="851" w:footer="992" w:gutter="0"/>
          <w:pgNumType w:fmt="upperRoman"/>
          <w:cols w:space="720" w:num="1"/>
          <w:titlePg/>
          <w:docGrid w:type="lines" w:linePitch="312" w:charSpace="0"/>
        </w:sectPr>
      </w:pPr>
    </w:p>
    <w:p>
      <w:pPr>
        <w:pStyle w:val="145"/>
        <w:spacing w:line="360" w:lineRule="auto"/>
        <w:ind w:firstLine="0" w:firstLineChars="0"/>
        <w:jc w:val="center"/>
        <w:outlineLvl w:val="0"/>
        <w:rPr>
          <w:rFonts w:ascii="Times New Roman" w:hAnsi="Times New Roman"/>
          <w:b/>
          <w:sz w:val="32"/>
          <w:szCs w:val="32"/>
        </w:rPr>
      </w:pPr>
      <w:bookmarkStart w:id="1" w:name="_Toc149641951"/>
      <w:r>
        <w:rPr>
          <w:rFonts w:ascii="Times New Roman" w:hAnsi="Times New Roman"/>
          <w:b/>
          <w:sz w:val="32"/>
          <w:szCs w:val="32"/>
        </w:rPr>
        <w:t>目  录</w:t>
      </w:r>
      <w:bookmarkEnd w:id="1"/>
    </w:p>
    <w:p>
      <w:pPr>
        <w:pStyle w:val="28"/>
        <w:tabs>
          <w:tab w:val="right" w:leader="dot" w:pos="9060"/>
        </w:tabs>
        <w:rPr>
          <w:rFonts w:asciiTheme="minorHAnsi" w:hAnsiTheme="minorHAnsi" w:eastAsiaTheme="minorEastAsia" w:cstheme="minorBidi"/>
          <w:kern w:val="2"/>
          <w:sz w:val="21"/>
          <w:szCs w:val="22"/>
        </w:rPr>
      </w:pPr>
      <w:r>
        <w:rPr>
          <w:sz w:val="21"/>
          <w:szCs w:val="21"/>
        </w:rPr>
        <w:fldChar w:fldCharType="begin"/>
      </w:r>
      <w:r>
        <w:rPr>
          <w:sz w:val="21"/>
          <w:szCs w:val="21"/>
        </w:rPr>
        <w:instrText xml:space="preserve"> TOC \o "1-2" \h \z \u </w:instrText>
      </w:r>
      <w:r>
        <w:rPr>
          <w:sz w:val="21"/>
          <w:szCs w:val="21"/>
        </w:rPr>
        <w:fldChar w:fldCharType="separate"/>
      </w:r>
      <w:r>
        <w:fldChar w:fldCharType="begin"/>
      </w:r>
      <w:r>
        <w:instrText xml:space="preserve"> HYPERLINK \l "_Toc149641952" </w:instrText>
      </w:r>
      <w:r>
        <w:fldChar w:fldCharType="separate"/>
      </w:r>
      <w:r>
        <w:rPr>
          <w:rStyle w:val="44"/>
          <w:color w:val="auto"/>
        </w:rPr>
        <w:t>1 前言</w:t>
      </w:r>
      <w:r>
        <w:tab/>
      </w:r>
      <w:r>
        <w:fldChar w:fldCharType="begin"/>
      </w:r>
      <w:r>
        <w:instrText xml:space="preserve"> PAGEREF _Toc149641952 \h </w:instrText>
      </w:r>
      <w:r>
        <w:fldChar w:fldCharType="separate"/>
      </w:r>
      <w:r>
        <w:t>- 1 -</w:t>
      </w:r>
      <w:r>
        <w:fldChar w:fldCharType="end"/>
      </w:r>
      <w:r>
        <w:fldChar w:fldCharType="end"/>
      </w:r>
    </w:p>
    <w:p>
      <w:pPr>
        <w:pStyle w:val="28"/>
        <w:tabs>
          <w:tab w:val="right" w:leader="dot" w:pos="9060"/>
        </w:tabs>
        <w:rPr>
          <w:rFonts w:asciiTheme="minorHAnsi" w:hAnsiTheme="minorHAnsi" w:eastAsiaTheme="minorEastAsia" w:cstheme="minorBidi"/>
          <w:kern w:val="2"/>
          <w:sz w:val="21"/>
          <w:szCs w:val="22"/>
        </w:rPr>
      </w:pPr>
      <w:r>
        <w:fldChar w:fldCharType="begin"/>
      </w:r>
      <w:r>
        <w:instrText xml:space="preserve"> HYPERLINK \l "_Toc149641953" </w:instrText>
      </w:r>
      <w:r>
        <w:fldChar w:fldCharType="separate"/>
      </w:r>
      <w:r>
        <w:rPr>
          <w:rStyle w:val="44"/>
          <w:color w:val="auto"/>
        </w:rPr>
        <w:t>2 概述</w:t>
      </w:r>
      <w:r>
        <w:tab/>
      </w:r>
      <w:r>
        <w:fldChar w:fldCharType="begin"/>
      </w:r>
      <w:r>
        <w:instrText xml:space="preserve"> PAGEREF _Toc149641953 \h </w:instrText>
      </w:r>
      <w:r>
        <w:fldChar w:fldCharType="separate"/>
      </w:r>
      <w:r>
        <w:t>- 3 -</w:t>
      </w:r>
      <w:r>
        <w:fldChar w:fldCharType="end"/>
      </w:r>
      <w:r>
        <w:fldChar w:fldCharType="end"/>
      </w:r>
    </w:p>
    <w:p>
      <w:pPr>
        <w:pStyle w:val="30"/>
        <w:tabs>
          <w:tab w:val="right" w:leader="dot" w:pos="9060"/>
        </w:tabs>
        <w:ind w:left="400"/>
        <w:rPr>
          <w:rFonts w:asciiTheme="minorHAnsi" w:hAnsiTheme="minorHAnsi" w:eastAsiaTheme="minorEastAsia" w:cstheme="minorBidi"/>
          <w:kern w:val="2"/>
          <w:sz w:val="21"/>
          <w:szCs w:val="22"/>
        </w:rPr>
      </w:pPr>
      <w:r>
        <w:fldChar w:fldCharType="begin"/>
      </w:r>
      <w:r>
        <w:instrText xml:space="preserve"> HYPERLINK \l "_Toc149641954" </w:instrText>
      </w:r>
      <w:r>
        <w:fldChar w:fldCharType="separate"/>
      </w:r>
      <w:r>
        <w:rPr>
          <w:rStyle w:val="44"/>
          <w:color w:val="auto"/>
        </w:rPr>
        <w:t>2.1 调查目的和原则</w:t>
      </w:r>
      <w:r>
        <w:tab/>
      </w:r>
      <w:r>
        <w:fldChar w:fldCharType="begin"/>
      </w:r>
      <w:r>
        <w:instrText xml:space="preserve"> PAGEREF _Toc149641954 \h </w:instrText>
      </w:r>
      <w:r>
        <w:fldChar w:fldCharType="separate"/>
      </w:r>
      <w:r>
        <w:t>- 3 -</w:t>
      </w:r>
      <w:r>
        <w:fldChar w:fldCharType="end"/>
      </w:r>
      <w:r>
        <w:fldChar w:fldCharType="end"/>
      </w:r>
    </w:p>
    <w:p>
      <w:pPr>
        <w:pStyle w:val="30"/>
        <w:tabs>
          <w:tab w:val="right" w:leader="dot" w:pos="9060"/>
        </w:tabs>
        <w:ind w:left="400"/>
        <w:rPr>
          <w:rFonts w:asciiTheme="minorHAnsi" w:hAnsiTheme="minorHAnsi" w:eastAsiaTheme="minorEastAsia" w:cstheme="minorBidi"/>
          <w:kern w:val="2"/>
          <w:sz w:val="21"/>
          <w:szCs w:val="22"/>
        </w:rPr>
      </w:pPr>
      <w:r>
        <w:fldChar w:fldCharType="begin"/>
      </w:r>
      <w:r>
        <w:instrText xml:space="preserve"> HYPERLINK \l "_Toc149641955" </w:instrText>
      </w:r>
      <w:r>
        <w:fldChar w:fldCharType="separate"/>
      </w:r>
      <w:r>
        <w:rPr>
          <w:rStyle w:val="44"/>
          <w:color w:val="auto"/>
        </w:rPr>
        <w:t>2.1.1 调查目的</w:t>
      </w:r>
      <w:r>
        <w:tab/>
      </w:r>
      <w:r>
        <w:fldChar w:fldCharType="begin"/>
      </w:r>
      <w:r>
        <w:instrText xml:space="preserve"> PAGEREF _Toc149641955 \h </w:instrText>
      </w:r>
      <w:r>
        <w:fldChar w:fldCharType="separate"/>
      </w:r>
      <w:r>
        <w:t>- 3 -</w:t>
      </w:r>
      <w:r>
        <w:fldChar w:fldCharType="end"/>
      </w:r>
      <w:r>
        <w:fldChar w:fldCharType="end"/>
      </w:r>
    </w:p>
    <w:p>
      <w:pPr>
        <w:pStyle w:val="30"/>
        <w:tabs>
          <w:tab w:val="right" w:leader="dot" w:pos="9060"/>
        </w:tabs>
        <w:ind w:left="400"/>
        <w:rPr>
          <w:rFonts w:asciiTheme="minorHAnsi" w:hAnsiTheme="minorHAnsi" w:eastAsiaTheme="minorEastAsia" w:cstheme="minorBidi"/>
          <w:kern w:val="2"/>
          <w:sz w:val="21"/>
          <w:szCs w:val="22"/>
        </w:rPr>
      </w:pPr>
      <w:r>
        <w:fldChar w:fldCharType="begin"/>
      </w:r>
      <w:r>
        <w:instrText xml:space="preserve"> HYPERLINK \l "_Toc149641956" </w:instrText>
      </w:r>
      <w:r>
        <w:fldChar w:fldCharType="separate"/>
      </w:r>
      <w:r>
        <w:rPr>
          <w:rStyle w:val="44"/>
          <w:color w:val="auto"/>
        </w:rPr>
        <w:t>2.1.2 调查原则</w:t>
      </w:r>
      <w:r>
        <w:tab/>
      </w:r>
      <w:r>
        <w:fldChar w:fldCharType="begin"/>
      </w:r>
      <w:r>
        <w:instrText xml:space="preserve"> PAGEREF _Toc149641956 \h </w:instrText>
      </w:r>
      <w:r>
        <w:fldChar w:fldCharType="separate"/>
      </w:r>
      <w:r>
        <w:t>- 3 -</w:t>
      </w:r>
      <w:r>
        <w:fldChar w:fldCharType="end"/>
      </w:r>
      <w:r>
        <w:fldChar w:fldCharType="end"/>
      </w:r>
    </w:p>
    <w:p>
      <w:pPr>
        <w:pStyle w:val="30"/>
        <w:tabs>
          <w:tab w:val="right" w:leader="dot" w:pos="9060"/>
        </w:tabs>
        <w:ind w:left="400"/>
        <w:rPr>
          <w:rFonts w:asciiTheme="minorHAnsi" w:hAnsiTheme="minorHAnsi" w:eastAsiaTheme="minorEastAsia" w:cstheme="minorBidi"/>
          <w:kern w:val="2"/>
          <w:sz w:val="21"/>
          <w:szCs w:val="22"/>
        </w:rPr>
      </w:pPr>
      <w:r>
        <w:fldChar w:fldCharType="begin"/>
      </w:r>
      <w:r>
        <w:instrText xml:space="preserve"> HYPERLINK \l "_Toc149641957" </w:instrText>
      </w:r>
      <w:r>
        <w:fldChar w:fldCharType="separate"/>
      </w:r>
      <w:r>
        <w:rPr>
          <w:rStyle w:val="44"/>
          <w:color w:val="auto"/>
        </w:rPr>
        <w:t>2.2 调查程序</w:t>
      </w:r>
      <w:r>
        <w:tab/>
      </w:r>
      <w:r>
        <w:fldChar w:fldCharType="begin"/>
      </w:r>
      <w:r>
        <w:instrText xml:space="preserve"> PAGEREF _Toc149641957 \h </w:instrText>
      </w:r>
      <w:r>
        <w:fldChar w:fldCharType="separate"/>
      </w:r>
      <w:r>
        <w:t>- 3 -</w:t>
      </w:r>
      <w:r>
        <w:fldChar w:fldCharType="end"/>
      </w:r>
      <w:r>
        <w:fldChar w:fldCharType="end"/>
      </w:r>
    </w:p>
    <w:p>
      <w:pPr>
        <w:pStyle w:val="30"/>
        <w:tabs>
          <w:tab w:val="right" w:leader="dot" w:pos="9060"/>
        </w:tabs>
        <w:ind w:left="400"/>
        <w:rPr>
          <w:rFonts w:asciiTheme="minorHAnsi" w:hAnsiTheme="minorHAnsi" w:eastAsiaTheme="minorEastAsia" w:cstheme="minorBidi"/>
          <w:kern w:val="2"/>
          <w:sz w:val="21"/>
          <w:szCs w:val="22"/>
        </w:rPr>
      </w:pPr>
      <w:r>
        <w:fldChar w:fldCharType="begin"/>
      </w:r>
      <w:r>
        <w:instrText xml:space="preserve"> HYPERLINK \l "_Toc149641958" </w:instrText>
      </w:r>
      <w:r>
        <w:fldChar w:fldCharType="separate"/>
      </w:r>
      <w:r>
        <w:rPr>
          <w:rStyle w:val="44"/>
          <w:color w:val="auto"/>
        </w:rPr>
        <w:t>2.3 调查范围</w:t>
      </w:r>
      <w:r>
        <w:tab/>
      </w:r>
      <w:r>
        <w:fldChar w:fldCharType="begin"/>
      </w:r>
      <w:r>
        <w:instrText xml:space="preserve"> PAGEREF _Toc149641958 \h </w:instrText>
      </w:r>
      <w:r>
        <w:fldChar w:fldCharType="separate"/>
      </w:r>
      <w:r>
        <w:t>- 4 -</w:t>
      </w:r>
      <w:r>
        <w:fldChar w:fldCharType="end"/>
      </w:r>
      <w:r>
        <w:fldChar w:fldCharType="end"/>
      </w:r>
    </w:p>
    <w:p>
      <w:pPr>
        <w:pStyle w:val="30"/>
        <w:tabs>
          <w:tab w:val="right" w:leader="dot" w:pos="9060"/>
        </w:tabs>
        <w:ind w:left="400"/>
        <w:rPr>
          <w:rFonts w:asciiTheme="minorHAnsi" w:hAnsiTheme="minorHAnsi" w:eastAsiaTheme="minorEastAsia" w:cstheme="minorBidi"/>
          <w:kern w:val="2"/>
          <w:sz w:val="21"/>
          <w:szCs w:val="22"/>
        </w:rPr>
      </w:pPr>
      <w:r>
        <w:fldChar w:fldCharType="begin"/>
      </w:r>
      <w:r>
        <w:instrText xml:space="preserve"> HYPERLINK \l "_Toc149641959" </w:instrText>
      </w:r>
      <w:r>
        <w:fldChar w:fldCharType="separate"/>
      </w:r>
      <w:r>
        <w:rPr>
          <w:rStyle w:val="44"/>
          <w:color w:val="auto"/>
        </w:rPr>
        <w:t>2.4 调查依据</w:t>
      </w:r>
      <w:r>
        <w:tab/>
      </w:r>
      <w:r>
        <w:fldChar w:fldCharType="begin"/>
      </w:r>
      <w:r>
        <w:instrText xml:space="preserve"> PAGEREF _Toc149641959 \h </w:instrText>
      </w:r>
      <w:r>
        <w:fldChar w:fldCharType="separate"/>
      </w:r>
      <w:r>
        <w:t>- 8 -</w:t>
      </w:r>
      <w:r>
        <w:fldChar w:fldCharType="end"/>
      </w:r>
      <w:r>
        <w:fldChar w:fldCharType="end"/>
      </w:r>
    </w:p>
    <w:p>
      <w:pPr>
        <w:pStyle w:val="30"/>
        <w:tabs>
          <w:tab w:val="right" w:leader="dot" w:pos="9060"/>
        </w:tabs>
        <w:ind w:left="400"/>
        <w:rPr>
          <w:rFonts w:asciiTheme="minorHAnsi" w:hAnsiTheme="minorHAnsi" w:eastAsiaTheme="minorEastAsia" w:cstheme="minorBidi"/>
          <w:kern w:val="2"/>
          <w:sz w:val="21"/>
          <w:szCs w:val="22"/>
        </w:rPr>
      </w:pPr>
      <w:r>
        <w:fldChar w:fldCharType="begin"/>
      </w:r>
      <w:r>
        <w:instrText xml:space="preserve"> HYPERLINK \l "_Toc149641960" </w:instrText>
      </w:r>
      <w:r>
        <w:fldChar w:fldCharType="separate"/>
      </w:r>
      <w:r>
        <w:rPr>
          <w:rStyle w:val="44"/>
          <w:color w:val="auto"/>
        </w:rPr>
        <w:t>2.4.1 法律法规与政策要求</w:t>
      </w:r>
      <w:r>
        <w:tab/>
      </w:r>
      <w:r>
        <w:fldChar w:fldCharType="begin"/>
      </w:r>
      <w:r>
        <w:instrText xml:space="preserve"> PAGEREF _Toc149641960 \h </w:instrText>
      </w:r>
      <w:r>
        <w:fldChar w:fldCharType="separate"/>
      </w:r>
      <w:r>
        <w:t>- 8 -</w:t>
      </w:r>
      <w:r>
        <w:fldChar w:fldCharType="end"/>
      </w:r>
      <w:r>
        <w:fldChar w:fldCharType="end"/>
      </w:r>
    </w:p>
    <w:p>
      <w:pPr>
        <w:pStyle w:val="30"/>
        <w:tabs>
          <w:tab w:val="right" w:leader="dot" w:pos="9060"/>
        </w:tabs>
        <w:ind w:left="400"/>
        <w:rPr>
          <w:rFonts w:asciiTheme="minorHAnsi" w:hAnsiTheme="minorHAnsi" w:eastAsiaTheme="minorEastAsia" w:cstheme="minorBidi"/>
          <w:kern w:val="2"/>
          <w:sz w:val="21"/>
          <w:szCs w:val="22"/>
        </w:rPr>
      </w:pPr>
      <w:r>
        <w:fldChar w:fldCharType="begin"/>
      </w:r>
      <w:r>
        <w:instrText xml:space="preserve"> HYPERLINK \l "_Toc149641961" </w:instrText>
      </w:r>
      <w:r>
        <w:fldChar w:fldCharType="separate"/>
      </w:r>
      <w:r>
        <w:rPr>
          <w:rStyle w:val="44"/>
          <w:color w:val="auto"/>
        </w:rPr>
        <w:t>2.4.2 技术导则与技术规范</w:t>
      </w:r>
      <w:r>
        <w:tab/>
      </w:r>
      <w:r>
        <w:fldChar w:fldCharType="begin"/>
      </w:r>
      <w:r>
        <w:instrText xml:space="preserve"> PAGEREF _Toc149641961 \h </w:instrText>
      </w:r>
      <w:r>
        <w:fldChar w:fldCharType="separate"/>
      </w:r>
      <w:r>
        <w:t>- 9 -</w:t>
      </w:r>
      <w:r>
        <w:fldChar w:fldCharType="end"/>
      </w:r>
      <w:r>
        <w:fldChar w:fldCharType="end"/>
      </w:r>
    </w:p>
    <w:p>
      <w:pPr>
        <w:pStyle w:val="30"/>
        <w:tabs>
          <w:tab w:val="right" w:leader="dot" w:pos="9060"/>
        </w:tabs>
        <w:ind w:left="400"/>
        <w:rPr>
          <w:rFonts w:asciiTheme="minorHAnsi" w:hAnsiTheme="minorHAnsi" w:eastAsiaTheme="minorEastAsia" w:cstheme="minorBidi"/>
          <w:kern w:val="2"/>
          <w:sz w:val="21"/>
          <w:szCs w:val="22"/>
        </w:rPr>
      </w:pPr>
      <w:r>
        <w:fldChar w:fldCharType="begin"/>
      </w:r>
      <w:r>
        <w:instrText xml:space="preserve"> HYPERLINK \l "_Toc149641962" </w:instrText>
      </w:r>
      <w:r>
        <w:fldChar w:fldCharType="separate"/>
      </w:r>
      <w:r>
        <w:rPr>
          <w:rStyle w:val="44"/>
          <w:color w:val="auto"/>
        </w:rPr>
        <w:t>2.4.3 其他依据</w:t>
      </w:r>
      <w:r>
        <w:tab/>
      </w:r>
      <w:r>
        <w:fldChar w:fldCharType="begin"/>
      </w:r>
      <w:r>
        <w:instrText xml:space="preserve"> PAGEREF _Toc149641962 \h </w:instrText>
      </w:r>
      <w:r>
        <w:fldChar w:fldCharType="separate"/>
      </w:r>
      <w:r>
        <w:t>- 9 -</w:t>
      </w:r>
      <w:r>
        <w:fldChar w:fldCharType="end"/>
      </w:r>
      <w:r>
        <w:fldChar w:fldCharType="end"/>
      </w:r>
    </w:p>
    <w:p>
      <w:pPr>
        <w:pStyle w:val="30"/>
        <w:tabs>
          <w:tab w:val="right" w:leader="dot" w:pos="9060"/>
        </w:tabs>
        <w:ind w:left="400"/>
        <w:rPr>
          <w:rFonts w:asciiTheme="minorHAnsi" w:hAnsiTheme="minorHAnsi" w:eastAsiaTheme="minorEastAsia" w:cstheme="minorBidi"/>
          <w:kern w:val="2"/>
          <w:sz w:val="21"/>
          <w:szCs w:val="22"/>
        </w:rPr>
      </w:pPr>
      <w:r>
        <w:fldChar w:fldCharType="begin"/>
      </w:r>
      <w:r>
        <w:instrText xml:space="preserve"> HYPERLINK \l "_Toc149641963" </w:instrText>
      </w:r>
      <w:r>
        <w:fldChar w:fldCharType="separate"/>
      </w:r>
      <w:r>
        <w:rPr>
          <w:rStyle w:val="44"/>
          <w:color w:val="auto"/>
        </w:rPr>
        <w:t>2.5 调查方法</w:t>
      </w:r>
      <w:r>
        <w:tab/>
      </w:r>
      <w:r>
        <w:fldChar w:fldCharType="begin"/>
      </w:r>
      <w:r>
        <w:instrText xml:space="preserve"> PAGEREF _Toc149641963 \h </w:instrText>
      </w:r>
      <w:r>
        <w:fldChar w:fldCharType="separate"/>
      </w:r>
      <w:r>
        <w:t>- 9 -</w:t>
      </w:r>
      <w:r>
        <w:fldChar w:fldCharType="end"/>
      </w:r>
      <w:r>
        <w:fldChar w:fldCharType="end"/>
      </w:r>
    </w:p>
    <w:p>
      <w:pPr>
        <w:pStyle w:val="28"/>
        <w:tabs>
          <w:tab w:val="right" w:leader="dot" w:pos="9060"/>
        </w:tabs>
        <w:rPr>
          <w:rFonts w:asciiTheme="minorHAnsi" w:hAnsiTheme="minorHAnsi" w:eastAsiaTheme="minorEastAsia" w:cstheme="minorBidi"/>
          <w:kern w:val="2"/>
          <w:sz w:val="21"/>
          <w:szCs w:val="22"/>
        </w:rPr>
      </w:pPr>
      <w:r>
        <w:fldChar w:fldCharType="begin"/>
      </w:r>
      <w:r>
        <w:instrText xml:space="preserve"> HYPERLINK \l "_Toc149641964" </w:instrText>
      </w:r>
      <w:r>
        <w:fldChar w:fldCharType="separate"/>
      </w:r>
      <w:r>
        <w:rPr>
          <w:rStyle w:val="44"/>
          <w:color w:val="auto"/>
        </w:rPr>
        <w:t>3 地块概况</w:t>
      </w:r>
      <w:r>
        <w:tab/>
      </w:r>
      <w:r>
        <w:fldChar w:fldCharType="begin"/>
      </w:r>
      <w:r>
        <w:instrText xml:space="preserve"> PAGEREF _Toc149641964 \h </w:instrText>
      </w:r>
      <w:r>
        <w:fldChar w:fldCharType="separate"/>
      </w:r>
      <w:r>
        <w:t>- 11 -</w:t>
      </w:r>
      <w:r>
        <w:fldChar w:fldCharType="end"/>
      </w:r>
      <w:r>
        <w:fldChar w:fldCharType="end"/>
      </w:r>
    </w:p>
    <w:p>
      <w:pPr>
        <w:pStyle w:val="30"/>
        <w:tabs>
          <w:tab w:val="right" w:leader="dot" w:pos="9060"/>
        </w:tabs>
        <w:ind w:left="400"/>
        <w:rPr>
          <w:rFonts w:asciiTheme="minorHAnsi" w:hAnsiTheme="minorHAnsi" w:eastAsiaTheme="minorEastAsia" w:cstheme="minorBidi"/>
          <w:kern w:val="2"/>
          <w:sz w:val="21"/>
          <w:szCs w:val="22"/>
        </w:rPr>
      </w:pPr>
      <w:r>
        <w:fldChar w:fldCharType="begin"/>
      </w:r>
      <w:r>
        <w:instrText xml:space="preserve"> HYPERLINK \l "_Toc149641965" </w:instrText>
      </w:r>
      <w:r>
        <w:fldChar w:fldCharType="separate"/>
      </w:r>
      <w:r>
        <w:rPr>
          <w:rStyle w:val="44"/>
          <w:color w:val="auto"/>
        </w:rPr>
        <w:t>3.1 区域环境状况</w:t>
      </w:r>
      <w:r>
        <w:tab/>
      </w:r>
      <w:r>
        <w:fldChar w:fldCharType="begin"/>
      </w:r>
      <w:r>
        <w:instrText xml:space="preserve"> PAGEREF _Toc149641965 \h </w:instrText>
      </w:r>
      <w:r>
        <w:fldChar w:fldCharType="separate"/>
      </w:r>
      <w:r>
        <w:t>- 11 -</w:t>
      </w:r>
      <w:r>
        <w:fldChar w:fldCharType="end"/>
      </w:r>
      <w:r>
        <w:fldChar w:fldCharType="end"/>
      </w:r>
    </w:p>
    <w:p>
      <w:pPr>
        <w:pStyle w:val="30"/>
        <w:tabs>
          <w:tab w:val="right" w:leader="dot" w:pos="9060"/>
        </w:tabs>
        <w:ind w:left="400"/>
        <w:rPr>
          <w:rFonts w:asciiTheme="minorHAnsi" w:hAnsiTheme="minorHAnsi" w:eastAsiaTheme="minorEastAsia" w:cstheme="minorBidi"/>
          <w:kern w:val="2"/>
          <w:sz w:val="21"/>
          <w:szCs w:val="22"/>
        </w:rPr>
      </w:pPr>
      <w:r>
        <w:fldChar w:fldCharType="begin"/>
      </w:r>
      <w:r>
        <w:instrText xml:space="preserve"> HYPERLINK \l "_Toc149641966" </w:instrText>
      </w:r>
      <w:r>
        <w:fldChar w:fldCharType="separate"/>
      </w:r>
      <w:r>
        <w:rPr>
          <w:rStyle w:val="44"/>
          <w:color w:val="auto"/>
        </w:rPr>
        <w:t>3.1.1 地理位置</w:t>
      </w:r>
      <w:r>
        <w:tab/>
      </w:r>
      <w:r>
        <w:fldChar w:fldCharType="begin"/>
      </w:r>
      <w:r>
        <w:instrText xml:space="preserve"> PAGEREF _Toc149641966 \h </w:instrText>
      </w:r>
      <w:r>
        <w:fldChar w:fldCharType="separate"/>
      </w:r>
      <w:r>
        <w:t>- 11 -</w:t>
      </w:r>
      <w:r>
        <w:fldChar w:fldCharType="end"/>
      </w:r>
      <w:r>
        <w:fldChar w:fldCharType="end"/>
      </w:r>
    </w:p>
    <w:p>
      <w:pPr>
        <w:pStyle w:val="30"/>
        <w:tabs>
          <w:tab w:val="right" w:leader="dot" w:pos="9060"/>
        </w:tabs>
        <w:ind w:left="400"/>
        <w:rPr>
          <w:rFonts w:asciiTheme="minorHAnsi" w:hAnsiTheme="minorHAnsi" w:eastAsiaTheme="minorEastAsia" w:cstheme="minorBidi"/>
          <w:kern w:val="2"/>
          <w:sz w:val="21"/>
          <w:szCs w:val="22"/>
        </w:rPr>
      </w:pPr>
      <w:r>
        <w:fldChar w:fldCharType="begin"/>
      </w:r>
      <w:r>
        <w:instrText xml:space="preserve"> HYPERLINK \l "_Toc149641967" </w:instrText>
      </w:r>
      <w:r>
        <w:fldChar w:fldCharType="separate"/>
      </w:r>
      <w:r>
        <w:rPr>
          <w:rStyle w:val="44"/>
          <w:color w:val="auto"/>
        </w:rPr>
        <w:t>3.1.2 地形地貌</w:t>
      </w:r>
      <w:r>
        <w:tab/>
      </w:r>
      <w:r>
        <w:fldChar w:fldCharType="begin"/>
      </w:r>
      <w:r>
        <w:instrText xml:space="preserve"> PAGEREF _Toc149641967 \h </w:instrText>
      </w:r>
      <w:r>
        <w:fldChar w:fldCharType="separate"/>
      </w:r>
      <w:r>
        <w:t>- 11 -</w:t>
      </w:r>
      <w:r>
        <w:fldChar w:fldCharType="end"/>
      </w:r>
      <w:r>
        <w:fldChar w:fldCharType="end"/>
      </w:r>
    </w:p>
    <w:p>
      <w:pPr>
        <w:pStyle w:val="30"/>
        <w:tabs>
          <w:tab w:val="right" w:leader="dot" w:pos="9060"/>
        </w:tabs>
        <w:ind w:left="400"/>
        <w:rPr>
          <w:rFonts w:asciiTheme="minorHAnsi" w:hAnsiTheme="minorHAnsi" w:eastAsiaTheme="minorEastAsia" w:cstheme="minorBidi"/>
          <w:kern w:val="2"/>
          <w:sz w:val="21"/>
          <w:szCs w:val="22"/>
        </w:rPr>
      </w:pPr>
      <w:r>
        <w:fldChar w:fldCharType="begin"/>
      </w:r>
      <w:r>
        <w:instrText xml:space="preserve"> HYPERLINK \l "_Toc149641968" </w:instrText>
      </w:r>
      <w:r>
        <w:fldChar w:fldCharType="separate"/>
      </w:r>
      <w:r>
        <w:rPr>
          <w:rStyle w:val="44"/>
          <w:color w:val="auto"/>
        </w:rPr>
        <w:t>3.1.3 气候特征</w:t>
      </w:r>
      <w:r>
        <w:tab/>
      </w:r>
      <w:r>
        <w:fldChar w:fldCharType="begin"/>
      </w:r>
      <w:r>
        <w:instrText xml:space="preserve"> PAGEREF _Toc149641968 \h </w:instrText>
      </w:r>
      <w:r>
        <w:fldChar w:fldCharType="separate"/>
      </w:r>
      <w:r>
        <w:t>- 12 -</w:t>
      </w:r>
      <w:r>
        <w:fldChar w:fldCharType="end"/>
      </w:r>
      <w:r>
        <w:fldChar w:fldCharType="end"/>
      </w:r>
    </w:p>
    <w:p>
      <w:pPr>
        <w:pStyle w:val="30"/>
        <w:tabs>
          <w:tab w:val="right" w:leader="dot" w:pos="9060"/>
        </w:tabs>
        <w:ind w:left="400"/>
        <w:rPr>
          <w:rFonts w:asciiTheme="minorHAnsi" w:hAnsiTheme="minorHAnsi" w:eastAsiaTheme="minorEastAsia" w:cstheme="minorBidi"/>
          <w:kern w:val="2"/>
          <w:sz w:val="21"/>
          <w:szCs w:val="22"/>
        </w:rPr>
      </w:pPr>
      <w:r>
        <w:fldChar w:fldCharType="begin"/>
      </w:r>
      <w:r>
        <w:instrText xml:space="preserve"> HYPERLINK \l "_Toc149641969" </w:instrText>
      </w:r>
      <w:r>
        <w:fldChar w:fldCharType="separate"/>
      </w:r>
      <w:r>
        <w:rPr>
          <w:rStyle w:val="44"/>
          <w:color w:val="auto"/>
        </w:rPr>
        <w:t>3.1.4 水文特征</w:t>
      </w:r>
      <w:r>
        <w:tab/>
      </w:r>
      <w:r>
        <w:fldChar w:fldCharType="begin"/>
      </w:r>
      <w:r>
        <w:instrText xml:space="preserve"> PAGEREF _Toc149641969 \h </w:instrText>
      </w:r>
      <w:r>
        <w:fldChar w:fldCharType="separate"/>
      </w:r>
      <w:r>
        <w:t>- 12 -</w:t>
      </w:r>
      <w:r>
        <w:fldChar w:fldCharType="end"/>
      </w:r>
      <w:r>
        <w:fldChar w:fldCharType="end"/>
      </w:r>
    </w:p>
    <w:p>
      <w:pPr>
        <w:pStyle w:val="30"/>
        <w:tabs>
          <w:tab w:val="right" w:leader="dot" w:pos="9060"/>
        </w:tabs>
        <w:ind w:left="400"/>
        <w:rPr>
          <w:rFonts w:asciiTheme="minorHAnsi" w:hAnsiTheme="minorHAnsi" w:eastAsiaTheme="minorEastAsia" w:cstheme="minorBidi"/>
          <w:kern w:val="2"/>
          <w:sz w:val="21"/>
          <w:szCs w:val="22"/>
        </w:rPr>
      </w:pPr>
      <w:r>
        <w:fldChar w:fldCharType="begin"/>
      </w:r>
      <w:r>
        <w:instrText xml:space="preserve"> HYPERLINK \l "_Toc149641970" </w:instrText>
      </w:r>
      <w:r>
        <w:fldChar w:fldCharType="separate"/>
      </w:r>
      <w:r>
        <w:rPr>
          <w:rStyle w:val="44"/>
          <w:color w:val="auto"/>
        </w:rPr>
        <w:t>3.1.5 土壤与植被</w:t>
      </w:r>
      <w:r>
        <w:tab/>
      </w:r>
      <w:r>
        <w:fldChar w:fldCharType="begin"/>
      </w:r>
      <w:r>
        <w:instrText xml:space="preserve"> PAGEREF _Toc149641970 \h </w:instrText>
      </w:r>
      <w:r>
        <w:fldChar w:fldCharType="separate"/>
      </w:r>
      <w:r>
        <w:t>- 13 -</w:t>
      </w:r>
      <w:r>
        <w:fldChar w:fldCharType="end"/>
      </w:r>
      <w:r>
        <w:fldChar w:fldCharType="end"/>
      </w:r>
    </w:p>
    <w:p>
      <w:pPr>
        <w:pStyle w:val="30"/>
        <w:tabs>
          <w:tab w:val="right" w:leader="dot" w:pos="9060"/>
        </w:tabs>
        <w:ind w:left="400"/>
        <w:rPr>
          <w:rFonts w:asciiTheme="minorHAnsi" w:hAnsiTheme="minorHAnsi" w:eastAsiaTheme="minorEastAsia" w:cstheme="minorBidi"/>
          <w:kern w:val="2"/>
          <w:sz w:val="21"/>
          <w:szCs w:val="22"/>
        </w:rPr>
      </w:pPr>
      <w:r>
        <w:fldChar w:fldCharType="begin"/>
      </w:r>
      <w:r>
        <w:instrText xml:space="preserve"> HYPERLINK \l "_Toc149641971" </w:instrText>
      </w:r>
      <w:r>
        <w:fldChar w:fldCharType="separate"/>
      </w:r>
      <w:r>
        <w:rPr>
          <w:rStyle w:val="44"/>
          <w:color w:val="auto"/>
        </w:rPr>
        <w:t>3.1.6 地块的地质和水文地质条件</w:t>
      </w:r>
      <w:r>
        <w:tab/>
      </w:r>
      <w:r>
        <w:fldChar w:fldCharType="begin"/>
      </w:r>
      <w:r>
        <w:instrText xml:space="preserve"> PAGEREF _Toc149641971 \h </w:instrText>
      </w:r>
      <w:r>
        <w:fldChar w:fldCharType="separate"/>
      </w:r>
      <w:r>
        <w:t>- 13 -</w:t>
      </w:r>
      <w:r>
        <w:fldChar w:fldCharType="end"/>
      </w:r>
      <w:r>
        <w:fldChar w:fldCharType="end"/>
      </w:r>
    </w:p>
    <w:p>
      <w:pPr>
        <w:pStyle w:val="30"/>
        <w:tabs>
          <w:tab w:val="right" w:leader="dot" w:pos="9060"/>
        </w:tabs>
        <w:ind w:left="400"/>
        <w:rPr>
          <w:rFonts w:asciiTheme="minorHAnsi" w:hAnsiTheme="minorHAnsi" w:eastAsiaTheme="minorEastAsia" w:cstheme="minorBidi"/>
          <w:kern w:val="2"/>
          <w:sz w:val="21"/>
          <w:szCs w:val="22"/>
        </w:rPr>
      </w:pPr>
      <w:r>
        <w:fldChar w:fldCharType="begin"/>
      </w:r>
      <w:r>
        <w:instrText xml:space="preserve"> HYPERLINK \l "_Toc149641974" </w:instrText>
      </w:r>
      <w:r>
        <w:fldChar w:fldCharType="separate"/>
      </w:r>
      <w:r>
        <w:rPr>
          <w:rStyle w:val="44"/>
          <w:color w:val="auto"/>
        </w:rPr>
        <w:t>3.2 敏感目标</w:t>
      </w:r>
      <w:r>
        <w:tab/>
      </w:r>
      <w:r>
        <w:fldChar w:fldCharType="begin"/>
      </w:r>
      <w:r>
        <w:instrText xml:space="preserve"> PAGEREF _Toc149641974 \h </w:instrText>
      </w:r>
      <w:r>
        <w:fldChar w:fldCharType="separate"/>
      </w:r>
      <w:r>
        <w:t>- 19 -</w:t>
      </w:r>
      <w:r>
        <w:fldChar w:fldCharType="end"/>
      </w:r>
      <w:r>
        <w:fldChar w:fldCharType="end"/>
      </w:r>
    </w:p>
    <w:p>
      <w:pPr>
        <w:pStyle w:val="30"/>
        <w:tabs>
          <w:tab w:val="right" w:leader="dot" w:pos="9060"/>
        </w:tabs>
        <w:ind w:left="400"/>
        <w:rPr>
          <w:rFonts w:asciiTheme="minorHAnsi" w:hAnsiTheme="minorHAnsi" w:eastAsiaTheme="minorEastAsia" w:cstheme="minorBidi"/>
          <w:kern w:val="2"/>
          <w:sz w:val="21"/>
          <w:szCs w:val="22"/>
        </w:rPr>
      </w:pPr>
      <w:r>
        <w:fldChar w:fldCharType="begin"/>
      </w:r>
      <w:r>
        <w:instrText xml:space="preserve"> HYPERLINK \l "_Toc149641975" </w:instrText>
      </w:r>
      <w:r>
        <w:fldChar w:fldCharType="separate"/>
      </w:r>
      <w:r>
        <w:rPr>
          <w:rStyle w:val="44"/>
          <w:color w:val="auto"/>
        </w:rPr>
        <w:t>3.3 地块的现状和历史</w:t>
      </w:r>
      <w:r>
        <w:tab/>
      </w:r>
      <w:r>
        <w:fldChar w:fldCharType="begin"/>
      </w:r>
      <w:r>
        <w:instrText xml:space="preserve"> PAGEREF _Toc149641975 \h </w:instrText>
      </w:r>
      <w:r>
        <w:fldChar w:fldCharType="separate"/>
      </w:r>
      <w:r>
        <w:t>- 20 -</w:t>
      </w:r>
      <w:r>
        <w:fldChar w:fldCharType="end"/>
      </w:r>
      <w:r>
        <w:fldChar w:fldCharType="end"/>
      </w:r>
    </w:p>
    <w:p>
      <w:pPr>
        <w:pStyle w:val="30"/>
        <w:tabs>
          <w:tab w:val="right" w:leader="dot" w:pos="9060"/>
        </w:tabs>
        <w:ind w:left="400"/>
        <w:rPr>
          <w:rFonts w:asciiTheme="minorHAnsi" w:hAnsiTheme="minorHAnsi" w:eastAsiaTheme="minorEastAsia" w:cstheme="minorBidi"/>
          <w:kern w:val="2"/>
          <w:sz w:val="21"/>
          <w:szCs w:val="22"/>
        </w:rPr>
      </w:pPr>
      <w:r>
        <w:fldChar w:fldCharType="begin"/>
      </w:r>
      <w:r>
        <w:instrText xml:space="preserve"> HYPERLINK \l "_Toc149641976" </w:instrText>
      </w:r>
      <w:r>
        <w:fldChar w:fldCharType="separate"/>
      </w:r>
      <w:r>
        <w:rPr>
          <w:rStyle w:val="44"/>
          <w:color w:val="auto"/>
        </w:rPr>
        <w:t>3.3.1 地块使用现状概况</w:t>
      </w:r>
      <w:r>
        <w:tab/>
      </w:r>
      <w:r>
        <w:fldChar w:fldCharType="begin"/>
      </w:r>
      <w:r>
        <w:instrText xml:space="preserve"> PAGEREF _Toc149641976 \h </w:instrText>
      </w:r>
      <w:r>
        <w:fldChar w:fldCharType="separate"/>
      </w:r>
      <w:r>
        <w:t>- 20 -</w:t>
      </w:r>
      <w:r>
        <w:fldChar w:fldCharType="end"/>
      </w:r>
      <w:r>
        <w:fldChar w:fldCharType="end"/>
      </w:r>
    </w:p>
    <w:p>
      <w:pPr>
        <w:pStyle w:val="30"/>
        <w:tabs>
          <w:tab w:val="right" w:leader="dot" w:pos="9060"/>
        </w:tabs>
        <w:ind w:left="400"/>
        <w:rPr>
          <w:rFonts w:asciiTheme="minorHAnsi" w:hAnsiTheme="minorHAnsi" w:eastAsiaTheme="minorEastAsia" w:cstheme="minorBidi"/>
          <w:kern w:val="2"/>
          <w:sz w:val="21"/>
          <w:szCs w:val="22"/>
        </w:rPr>
      </w:pPr>
      <w:r>
        <w:fldChar w:fldCharType="begin"/>
      </w:r>
      <w:r>
        <w:instrText xml:space="preserve"> HYPERLINK \l "_Toc149641977" </w:instrText>
      </w:r>
      <w:r>
        <w:fldChar w:fldCharType="separate"/>
      </w:r>
      <w:r>
        <w:rPr>
          <w:rStyle w:val="44"/>
          <w:color w:val="auto"/>
        </w:rPr>
        <w:t>3.3.2 地块历史使用情况回顾</w:t>
      </w:r>
      <w:r>
        <w:tab/>
      </w:r>
      <w:r>
        <w:fldChar w:fldCharType="begin"/>
      </w:r>
      <w:r>
        <w:instrText xml:space="preserve"> PAGEREF _Toc149641977 \h </w:instrText>
      </w:r>
      <w:r>
        <w:fldChar w:fldCharType="separate"/>
      </w:r>
      <w:r>
        <w:t>- 21 -</w:t>
      </w:r>
      <w:r>
        <w:fldChar w:fldCharType="end"/>
      </w:r>
      <w:r>
        <w:fldChar w:fldCharType="end"/>
      </w:r>
    </w:p>
    <w:p>
      <w:pPr>
        <w:pStyle w:val="30"/>
        <w:tabs>
          <w:tab w:val="right" w:leader="dot" w:pos="9060"/>
        </w:tabs>
        <w:ind w:left="400"/>
        <w:rPr>
          <w:rFonts w:asciiTheme="minorHAnsi" w:hAnsiTheme="minorHAnsi" w:eastAsiaTheme="minorEastAsia" w:cstheme="minorBidi"/>
          <w:kern w:val="2"/>
          <w:sz w:val="21"/>
          <w:szCs w:val="22"/>
        </w:rPr>
      </w:pPr>
      <w:r>
        <w:fldChar w:fldCharType="begin"/>
      </w:r>
      <w:r>
        <w:instrText xml:space="preserve"> HYPERLINK \l "_Toc149641978" </w:instrText>
      </w:r>
      <w:r>
        <w:fldChar w:fldCharType="separate"/>
      </w:r>
      <w:r>
        <w:rPr>
          <w:rStyle w:val="44"/>
          <w:color w:val="auto"/>
        </w:rPr>
        <w:t>3.4 相邻地块的使用现状和历史</w:t>
      </w:r>
      <w:r>
        <w:tab/>
      </w:r>
      <w:r>
        <w:fldChar w:fldCharType="begin"/>
      </w:r>
      <w:r>
        <w:instrText xml:space="preserve"> PAGEREF _Toc149641978 \h </w:instrText>
      </w:r>
      <w:r>
        <w:fldChar w:fldCharType="separate"/>
      </w:r>
      <w:r>
        <w:t>- 23 -</w:t>
      </w:r>
      <w:r>
        <w:fldChar w:fldCharType="end"/>
      </w:r>
      <w:r>
        <w:fldChar w:fldCharType="end"/>
      </w:r>
    </w:p>
    <w:p>
      <w:pPr>
        <w:pStyle w:val="30"/>
        <w:tabs>
          <w:tab w:val="right" w:leader="dot" w:pos="9060"/>
        </w:tabs>
        <w:ind w:left="400"/>
        <w:rPr>
          <w:rFonts w:asciiTheme="minorHAnsi" w:hAnsiTheme="minorHAnsi" w:eastAsiaTheme="minorEastAsia" w:cstheme="minorBidi"/>
          <w:kern w:val="2"/>
          <w:sz w:val="21"/>
          <w:szCs w:val="22"/>
        </w:rPr>
      </w:pPr>
      <w:r>
        <w:fldChar w:fldCharType="begin"/>
      </w:r>
      <w:r>
        <w:instrText xml:space="preserve"> HYPERLINK \l "_Toc149641979" </w:instrText>
      </w:r>
      <w:r>
        <w:fldChar w:fldCharType="separate"/>
      </w:r>
      <w:r>
        <w:rPr>
          <w:rStyle w:val="44"/>
          <w:color w:val="auto"/>
        </w:rPr>
        <w:t>3.4.1 相邻地块使用现状概况</w:t>
      </w:r>
      <w:r>
        <w:tab/>
      </w:r>
      <w:r>
        <w:fldChar w:fldCharType="begin"/>
      </w:r>
      <w:r>
        <w:instrText xml:space="preserve"> PAGEREF _Toc149641979 \h </w:instrText>
      </w:r>
      <w:r>
        <w:fldChar w:fldCharType="separate"/>
      </w:r>
      <w:r>
        <w:t>- 23 -</w:t>
      </w:r>
      <w:r>
        <w:fldChar w:fldCharType="end"/>
      </w:r>
      <w:r>
        <w:fldChar w:fldCharType="end"/>
      </w:r>
    </w:p>
    <w:p>
      <w:pPr>
        <w:pStyle w:val="30"/>
        <w:tabs>
          <w:tab w:val="right" w:leader="dot" w:pos="9060"/>
        </w:tabs>
        <w:ind w:left="400"/>
        <w:rPr>
          <w:rFonts w:asciiTheme="minorHAnsi" w:hAnsiTheme="minorHAnsi" w:eastAsiaTheme="minorEastAsia" w:cstheme="minorBidi"/>
          <w:kern w:val="2"/>
          <w:sz w:val="21"/>
          <w:szCs w:val="22"/>
        </w:rPr>
      </w:pPr>
      <w:r>
        <w:fldChar w:fldCharType="begin"/>
      </w:r>
      <w:r>
        <w:instrText xml:space="preserve"> HYPERLINK \l "_Toc149641980" </w:instrText>
      </w:r>
      <w:r>
        <w:fldChar w:fldCharType="separate"/>
      </w:r>
      <w:r>
        <w:rPr>
          <w:rStyle w:val="44"/>
          <w:color w:val="auto"/>
        </w:rPr>
        <w:t>3.4.2 相邻地块历史使用情况回顾</w:t>
      </w:r>
      <w:r>
        <w:tab/>
      </w:r>
      <w:r>
        <w:fldChar w:fldCharType="begin"/>
      </w:r>
      <w:r>
        <w:instrText xml:space="preserve"> PAGEREF _Toc149641980 \h </w:instrText>
      </w:r>
      <w:r>
        <w:fldChar w:fldCharType="separate"/>
      </w:r>
      <w:r>
        <w:t>- 25 -</w:t>
      </w:r>
      <w:r>
        <w:fldChar w:fldCharType="end"/>
      </w:r>
      <w:r>
        <w:fldChar w:fldCharType="end"/>
      </w:r>
    </w:p>
    <w:p>
      <w:pPr>
        <w:pStyle w:val="30"/>
        <w:tabs>
          <w:tab w:val="right" w:leader="dot" w:pos="9060"/>
        </w:tabs>
        <w:ind w:left="400"/>
        <w:rPr>
          <w:rFonts w:asciiTheme="minorHAnsi" w:hAnsiTheme="minorHAnsi" w:eastAsiaTheme="minorEastAsia" w:cstheme="minorBidi"/>
          <w:kern w:val="2"/>
          <w:sz w:val="21"/>
          <w:szCs w:val="22"/>
        </w:rPr>
      </w:pPr>
      <w:r>
        <w:fldChar w:fldCharType="begin"/>
      </w:r>
      <w:r>
        <w:instrText xml:space="preserve"> HYPERLINK \l "_Toc149641981" </w:instrText>
      </w:r>
      <w:r>
        <w:fldChar w:fldCharType="separate"/>
      </w:r>
      <w:r>
        <w:rPr>
          <w:rStyle w:val="44"/>
          <w:color w:val="auto"/>
        </w:rPr>
        <w:t>3.5 地块利用的规划</w:t>
      </w:r>
      <w:r>
        <w:tab/>
      </w:r>
      <w:r>
        <w:fldChar w:fldCharType="begin"/>
      </w:r>
      <w:r>
        <w:instrText xml:space="preserve"> PAGEREF _Toc149641981 \h </w:instrText>
      </w:r>
      <w:r>
        <w:fldChar w:fldCharType="separate"/>
      </w:r>
      <w:r>
        <w:t>- 27 -</w:t>
      </w:r>
      <w:r>
        <w:fldChar w:fldCharType="end"/>
      </w:r>
      <w:r>
        <w:fldChar w:fldCharType="end"/>
      </w:r>
    </w:p>
    <w:p>
      <w:pPr>
        <w:pStyle w:val="28"/>
        <w:tabs>
          <w:tab w:val="right" w:leader="dot" w:pos="9060"/>
        </w:tabs>
        <w:rPr>
          <w:rFonts w:asciiTheme="minorHAnsi" w:hAnsiTheme="minorHAnsi" w:eastAsiaTheme="minorEastAsia" w:cstheme="minorBidi"/>
          <w:kern w:val="2"/>
          <w:sz w:val="21"/>
          <w:szCs w:val="22"/>
        </w:rPr>
      </w:pPr>
      <w:r>
        <w:fldChar w:fldCharType="begin"/>
      </w:r>
      <w:r>
        <w:instrText xml:space="preserve"> HYPERLINK \l "_Toc149641982" </w:instrText>
      </w:r>
      <w:r>
        <w:fldChar w:fldCharType="separate"/>
      </w:r>
      <w:r>
        <w:rPr>
          <w:rStyle w:val="44"/>
          <w:color w:val="auto"/>
        </w:rPr>
        <w:t>4 资料分析</w:t>
      </w:r>
      <w:r>
        <w:tab/>
      </w:r>
      <w:r>
        <w:fldChar w:fldCharType="begin"/>
      </w:r>
      <w:r>
        <w:instrText xml:space="preserve"> PAGEREF _Toc149641982 \h </w:instrText>
      </w:r>
      <w:r>
        <w:fldChar w:fldCharType="separate"/>
      </w:r>
      <w:r>
        <w:t>- 29 -</w:t>
      </w:r>
      <w:r>
        <w:fldChar w:fldCharType="end"/>
      </w:r>
      <w:r>
        <w:fldChar w:fldCharType="end"/>
      </w:r>
    </w:p>
    <w:p>
      <w:pPr>
        <w:pStyle w:val="30"/>
        <w:tabs>
          <w:tab w:val="right" w:leader="dot" w:pos="9060"/>
        </w:tabs>
        <w:ind w:left="400"/>
        <w:rPr>
          <w:rFonts w:asciiTheme="minorHAnsi" w:hAnsiTheme="minorHAnsi" w:eastAsiaTheme="minorEastAsia" w:cstheme="minorBidi"/>
          <w:kern w:val="2"/>
          <w:sz w:val="21"/>
          <w:szCs w:val="22"/>
        </w:rPr>
      </w:pPr>
      <w:r>
        <w:fldChar w:fldCharType="begin"/>
      </w:r>
      <w:r>
        <w:instrText xml:space="preserve"> HYPERLINK \l "_Toc149641983" </w:instrText>
      </w:r>
      <w:r>
        <w:fldChar w:fldCharType="separate"/>
      </w:r>
      <w:r>
        <w:rPr>
          <w:rStyle w:val="44"/>
          <w:color w:val="auto"/>
        </w:rPr>
        <w:t>4.1 政府和权威机构资料收集和分析</w:t>
      </w:r>
      <w:r>
        <w:tab/>
      </w:r>
      <w:r>
        <w:fldChar w:fldCharType="begin"/>
      </w:r>
      <w:r>
        <w:instrText xml:space="preserve"> PAGEREF _Toc149641983 \h </w:instrText>
      </w:r>
      <w:r>
        <w:fldChar w:fldCharType="separate"/>
      </w:r>
      <w:r>
        <w:t>- 29 -</w:t>
      </w:r>
      <w:r>
        <w:fldChar w:fldCharType="end"/>
      </w:r>
      <w:r>
        <w:fldChar w:fldCharType="end"/>
      </w:r>
    </w:p>
    <w:p>
      <w:pPr>
        <w:pStyle w:val="30"/>
        <w:tabs>
          <w:tab w:val="right" w:leader="dot" w:pos="9060"/>
        </w:tabs>
        <w:ind w:left="400"/>
        <w:rPr>
          <w:rFonts w:asciiTheme="minorHAnsi" w:hAnsiTheme="minorHAnsi" w:eastAsiaTheme="minorEastAsia" w:cstheme="minorBidi"/>
          <w:kern w:val="2"/>
          <w:sz w:val="21"/>
          <w:szCs w:val="22"/>
        </w:rPr>
      </w:pPr>
      <w:r>
        <w:fldChar w:fldCharType="begin"/>
      </w:r>
      <w:r>
        <w:instrText xml:space="preserve"> HYPERLINK \l "_Toc149641984" </w:instrText>
      </w:r>
      <w:r>
        <w:fldChar w:fldCharType="separate"/>
      </w:r>
      <w:r>
        <w:rPr>
          <w:rStyle w:val="44"/>
          <w:color w:val="auto"/>
        </w:rPr>
        <w:t>4.2 地块资料收集和分析</w:t>
      </w:r>
      <w:r>
        <w:tab/>
      </w:r>
      <w:r>
        <w:fldChar w:fldCharType="begin"/>
      </w:r>
      <w:r>
        <w:instrText xml:space="preserve"> PAGEREF _Toc149641984 \h </w:instrText>
      </w:r>
      <w:r>
        <w:fldChar w:fldCharType="separate"/>
      </w:r>
      <w:r>
        <w:t>- 30 -</w:t>
      </w:r>
      <w:r>
        <w:fldChar w:fldCharType="end"/>
      </w:r>
      <w:r>
        <w:fldChar w:fldCharType="end"/>
      </w:r>
    </w:p>
    <w:p>
      <w:pPr>
        <w:pStyle w:val="28"/>
        <w:tabs>
          <w:tab w:val="right" w:leader="dot" w:pos="9060"/>
        </w:tabs>
        <w:rPr>
          <w:rFonts w:asciiTheme="minorHAnsi" w:hAnsiTheme="minorHAnsi" w:eastAsiaTheme="minorEastAsia" w:cstheme="minorBidi"/>
          <w:kern w:val="2"/>
          <w:sz w:val="21"/>
          <w:szCs w:val="22"/>
        </w:rPr>
      </w:pPr>
      <w:r>
        <w:fldChar w:fldCharType="begin"/>
      </w:r>
      <w:r>
        <w:instrText xml:space="preserve"> HYPERLINK \l "_Toc149641985" </w:instrText>
      </w:r>
      <w:r>
        <w:fldChar w:fldCharType="separate"/>
      </w:r>
      <w:r>
        <w:rPr>
          <w:rStyle w:val="44"/>
          <w:color w:val="auto"/>
        </w:rPr>
        <w:t>5 现场踏勘和人员访谈</w:t>
      </w:r>
      <w:r>
        <w:tab/>
      </w:r>
      <w:r>
        <w:fldChar w:fldCharType="begin"/>
      </w:r>
      <w:r>
        <w:instrText xml:space="preserve"> PAGEREF _Toc149641985 \h </w:instrText>
      </w:r>
      <w:r>
        <w:fldChar w:fldCharType="separate"/>
      </w:r>
      <w:r>
        <w:t>- 31 -</w:t>
      </w:r>
      <w:r>
        <w:fldChar w:fldCharType="end"/>
      </w:r>
      <w:r>
        <w:fldChar w:fldCharType="end"/>
      </w:r>
    </w:p>
    <w:p>
      <w:pPr>
        <w:pStyle w:val="30"/>
        <w:tabs>
          <w:tab w:val="right" w:leader="dot" w:pos="9060"/>
        </w:tabs>
        <w:ind w:left="400"/>
        <w:rPr>
          <w:rFonts w:asciiTheme="minorHAnsi" w:hAnsiTheme="minorHAnsi" w:eastAsiaTheme="minorEastAsia" w:cstheme="minorBidi"/>
          <w:kern w:val="2"/>
          <w:sz w:val="21"/>
          <w:szCs w:val="22"/>
        </w:rPr>
      </w:pPr>
      <w:r>
        <w:fldChar w:fldCharType="begin"/>
      </w:r>
      <w:r>
        <w:instrText xml:space="preserve"> HYPERLINK \l "_Toc149641986" </w:instrText>
      </w:r>
      <w:r>
        <w:fldChar w:fldCharType="separate"/>
      </w:r>
      <w:r>
        <w:rPr>
          <w:rStyle w:val="44"/>
          <w:color w:val="auto"/>
        </w:rPr>
        <w:t>5.1 现场踏勘</w:t>
      </w:r>
      <w:r>
        <w:tab/>
      </w:r>
      <w:r>
        <w:fldChar w:fldCharType="begin"/>
      </w:r>
      <w:r>
        <w:instrText xml:space="preserve"> PAGEREF _Toc149641986 \h </w:instrText>
      </w:r>
      <w:r>
        <w:fldChar w:fldCharType="separate"/>
      </w:r>
      <w:r>
        <w:t>- 31 -</w:t>
      </w:r>
      <w:r>
        <w:fldChar w:fldCharType="end"/>
      </w:r>
      <w:r>
        <w:fldChar w:fldCharType="end"/>
      </w:r>
    </w:p>
    <w:p>
      <w:pPr>
        <w:pStyle w:val="30"/>
        <w:tabs>
          <w:tab w:val="right" w:leader="dot" w:pos="9060"/>
        </w:tabs>
        <w:ind w:left="400"/>
        <w:rPr>
          <w:rFonts w:asciiTheme="minorHAnsi" w:hAnsiTheme="minorHAnsi" w:eastAsiaTheme="minorEastAsia" w:cstheme="minorBidi"/>
          <w:kern w:val="2"/>
          <w:sz w:val="21"/>
          <w:szCs w:val="22"/>
        </w:rPr>
      </w:pPr>
      <w:r>
        <w:fldChar w:fldCharType="begin"/>
      </w:r>
      <w:r>
        <w:instrText xml:space="preserve"> HYPERLINK \l "_Toc149641987" </w:instrText>
      </w:r>
      <w:r>
        <w:fldChar w:fldCharType="separate"/>
      </w:r>
      <w:r>
        <w:rPr>
          <w:rStyle w:val="44"/>
          <w:color w:val="auto"/>
        </w:rPr>
        <w:t>5.1.1 踏勘情况</w:t>
      </w:r>
      <w:r>
        <w:tab/>
      </w:r>
      <w:r>
        <w:fldChar w:fldCharType="begin"/>
      </w:r>
      <w:r>
        <w:instrText xml:space="preserve"> PAGEREF _Toc149641987 \h </w:instrText>
      </w:r>
      <w:r>
        <w:fldChar w:fldCharType="separate"/>
      </w:r>
      <w:r>
        <w:t>- 31 -</w:t>
      </w:r>
      <w:r>
        <w:fldChar w:fldCharType="end"/>
      </w:r>
      <w:r>
        <w:fldChar w:fldCharType="end"/>
      </w:r>
    </w:p>
    <w:p>
      <w:pPr>
        <w:pStyle w:val="30"/>
        <w:tabs>
          <w:tab w:val="right" w:leader="dot" w:pos="9060"/>
        </w:tabs>
        <w:ind w:left="400"/>
        <w:rPr>
          <w:rFonts w:asciiTheme="minorHAnsi" w:hAnsiTheme="minorHAnsi" w:eastAsiaTheme="minorEastAsia" w:cstheme="minorBidi"/>
          <w:kern w:val="2"/>
          <w:sz w:val="21"/>
          <w:szCs w:val="22"/>
        </w:rPr>
      </w:pPr>
      <w:r>
        <w:fldChar w:fldCharType="begin"/>
      </w:r>
      <w:r>
        <w:instrText xml:space="preserve"> HYPERLINK \l "_Toc149641988" </w:instrText>
      </w:r>
      <w:r>
        <w:fldChar w:fldCharType="separate"/>
      </w:r>
      <w:r>
        <w:rPr>
          <w:rStyle w:val="44"/>
          <w:color w:val="auto"/>
        </w:rPr>
        <w:t>5.1.2 现场土壤快筛检测</w:t>
      </w:r>
      <w:r>
        <w:tab/>
      </w:r>
      <w:r>
        <w:fldChar w:fldCharType="begin"/>
      </w:r>
      <w:r>
        <w:instrText xml:space="preserve"> PAGEREF _Toc149641988 \h </w:instrText>
      </w:r>
      <w:r>
        <w:fldChar w:fldCharType="separate"/>
      </w:r>
      <w:r>
        <w:t>- 31 -</w:t>
      </w:r>
      <w:r>
        <w:fldChar w:fldCharType="end"/>
      </w:r>
      <w:r>
        <w:fldChar w:fldCharType="end"/>
      </w:r>
    </w:p>
    <w:p>
      <w:pPr>
        <w:pStyle w:val="30"/>
        <w:tabs>
          <w:tab w:val="right" w:leader="dot" w:pos="9060"/>
        </w:tabs>
        <w:ind w:left="400"/>
        <w:rPr>
          <w:rFonts w:asciiTheme="minorHAnsi" w:hAnsiTheme="minorHAnsi" w:eastAsiaTheme="minorEastAsia" w:cstheme="minorBidi"/>
          <w:kern w:val="2"/>
          <w:sz w:val="21"/>
          <w:szCs w:val="22"/>
        </w:rPr>
      </w:pPr>
      <w:r>
        <w:fldChar w:fldCharType="begin"/>
      </w:r>
      <w:r>
        <w:instrText xml:space="preserve"> HYPERLINK \l "_Toc149641993" </w:instrText>
      </w:r>
      <w:r>
        <w:fldChar w:fldCharType="separate"/>
      </w:r>
      <w:r>
        <w:rPr>
          <w:rStyle w:val="44"/>
          <w:color w:val="auto"/>
        </w:rPr>
        <w:t>5.2 人员访谈</w:t>
      </w:r>
      <w:r>
        <w:tab/>
      </w:r>
      <w:r>
        <w:fldChar w:fldCharType="begin"/>
      </w:r>
      <w:r>
        <w:instrText xml:space="preserve"> PAGEREF _Toc149641993 \h </w:instrText>
      </w:r>
      <w:r>
        <w:fldChar w:fldCharType="separate"/>
      </w:r>
      <w:r>
        <w:t>- 41 -</w:t>
      </w:r>
      <w:r>
        <w:fldChar w:fldCharType="end"/>
      </w:r>
      <w:r>
        <w:fldChar w:fldCharType="end"/>
      </w:r>
    </w:p>
    <w:p>
      <w:pPr>
        <w:pStyle w:val="30"/>
        <w:tabs>
          <w:tab w:val="right" w:leader="dot" w:pos="9060"/>
        </w:tabs>
        <w:ind w:left="400"/>
        <w:rPr>
          <w:rFonts w:asciiTheme="minorHAnsi" w:hAnsiTheme="minorHAnsi" w:eastAsiaTheme="minorEastAsia" w:cstheme="minorBidi"/>
          <w:kern w:val="2"/>
          <w:sz w:val="21"/>
          <w:szCs w:val="22"/>
        </w:rPr>
      </w:pPr>
      <w:r>
        <w:fldChar w:fldCharType="begin"/>
      </w:r>
      <w:r>
        <w:instrText xml:space="preserve"> HYPERLINK \l "_Toc149641994" </w:instrText>
      </w:r>
      <w:r>
        <w:fldChar w:fldCharType="separate"/>
      </w:r>
      <w:r>
        <w:rPr>
          <w:rStyle w:val="44"/>
          <w:color w:val="auto"/>
        </w:rPr>
        <w:t>5.3 有毒有害物质的储存、使用和处置情况分析</w:t>
      </w:r>
      <w:r>
        <w:tab/>
      </w:r>
      <w:r>
        <w:fldChar w:fldCharType="begin"/>
      </w:r>
      <w:r>
        <w:instrText xml:space="preserve"> PAGEREF _Toc149641994 \h </w:instrText>
      </w:r>
      <w:r>
        <w:fldChar w:fldCharType="separate"/>
      </w:r>
      <w:r>
        <w:t>- 44 -</w:t>
      </w:r>
      <w:r>
        <w:fldChar w:fldCharType="end"/>
      </w:r>
      <w:r>
        <w:fldChar w:fldCharType="end"/>
      </w:r>
    </w:p>
    <w:p>
      <w:pPr>
        <w:pStyle w:val="30"/>
        <w:tabs>
          <w:tab w:val="right" w:leader="dot" w:pos="9060"/>
        </w:tabs>
        <w:ind w:left="400"/>
        <w:rPr>
          <w:rFonts w:asciiTheme="minorHAnsi" w:hAnsiTheme="minorHAnsi" w:eastAsiaTheme="minorEastAsia" w:cstheme="minorBidi"/>
          <w:kern w:val="2"/>
          <w:sz w:val="21"/>
          <w:szCs w:val="22"/>
        </w:rPr>
      </w:pPr>
      <w:r>
        <w:fldChar w:fldCharType="begin"/>
      </w:r>
      <w:r>
        <w:instrText xml:space="preserve"> HYPERLINK \l "_Toc149641995" </w:instrText>
      </w:r>
      <w:r>
        <w:fldChar w:fldCharType="separate"/>
      </w:r>
      <w:r>
        <w:rPr>
          <w:rStyle w:val="44"/>
          <w:color w:val="auto"/>
        </w:rPr>
        <w:t>5.4 各类槽罐内的物质和泄漏评价</w:t>
      </w:r>
      <w:r>
        <w:tab/>
      </w:r>
      <w:r>
        <w:fldChar w:fldCharType="begin"/>
      </w:r>
      <w:r>
        <w:instrText xml:space="preserve"> PAGEREF _Toc149641995 \h </w:instrText>
      </w:r>
      <w:r>
        <w:fldChar w:fldCharType="separate"/>
      </w:r>
      <w:r>
        <w:t>- 44 -</w:t>
      </w:r>
      <w:r>
        <w:fldChar w:fldCharType="end"/>
      </w:r>
      <w:r>
        <w:fldChar w:fldCharType="end"/>
      </w:r>
    </w:p>
    <w:p>
      <w:pPr>
        <w:pStyle w:val="30"/>
        <w:tabs>
          <w:tab w:val="right" w:leader="dot" w:pos="9060"/>
        </w:tabs>
        <w:ind w:left="400"/>
        <w:rPr>
          <w:rFonts w:asciiTheme="minorHAnsi" w:hAnsiTheme="minorHAnsi" w:eastAsiaTheme="minorEastAsia" w:cstheme="minorBidi"/>
          <w:kern w:val="2"/>
          <w:sz w:val="21"/>
          <w:szCs w:val="22"/>
        </w:rPr>
      </w:pPr>
      <w:r>
        <w:fldChar w:fldCharType="begin"/>
      </w:r>
      <w:r>
        <w:instrText xml:space="preserve"> HYPERLINK \l "_Toc149641996" </w:instrText>
      </w:r>
      <w:r>
        <w:fldChar w:fldCharType="separate"/>
      </w:r>
      <w:r>
        <w:rPr>
          <w:rStyle w:val="44"/>
          <w:color w:val="auto"/>
        </w:rPr>
        <w:t>5.5 固体废物和危险废物的处理评价</w:t>
      </w:r>
      <w:r>
        <w:tab/>
      </w:r>
      <w:r>
        <w:fldChar w:fldCharType="begin"/>
      </w:r>
      <w:r>
        <w:instrText xml:space="preserve"> PAGEREF _Toc149641996 \h </w:instrText>
      </w:r>
      <w:r>
        <w:fldChar w:fldCharType="separate"/>
      </w:r>
      <w:r>
        <w:t>- 45 -</w:t>
      </w:r>
      <w:r>
        <w:fldChar w:fldCharType="end"/>
      </w:r>
      <w:r>
        <w:fldChar w:fldCharType="end"/>
      </w:r>
    </w:p>
    <w:p>
      <w:pPr>
        <w:pStyle w:val="30"/>
        <w:tabs>
          <w:tab w:val="right" w:leader="dot" w:pos="9060"/>
        </w:tabs>
        <w:ind w:left="400"/>
        <w:rPr>
          <w:rFonts w:asciiTheme="minorHAnsi" w:hAnsiTheme="minorHAnsi" w:eastAsiaTheme="minorEastAsia" w:cstheme="minorBidi"/>
          <w:kern w:val="2"/>
          <w:sz w:val="21"/>
          <w:szCs w:val="22"/>
        </w:rPr>
      </w:pPr>
      <w:r>
        <w:fldChar w:fldCharType="begin"/>
      </w:r>
      <w:r>
        <w:instrText xml:space="preserve"> HYPERLINK \l "_Toc149641997" </w:instrText>
      </w:r>
      <w:r>
        <w:fldChar w:fldCharType="separate"/>
      </w:r>
      <w:r>
        <w:rPr>
          <w:rStyle w:val="44"/>
          <w:color w:val="auto"/>
        </w:rPr>
        <w:t>5.6 管线、沟渠泄漏评价</w:t>
      </w:r>
      <w:r>
        <w:tab/>
      </w:r>
      <w:r>
        <w:fldChar w:fldCharType="begin"/>
      </w:r>
      <w:r>
        <w:instrText xml:space="preserve"> PAGEREF _Toc149641997 \h </w:instrText>
      </w:r>
      <w:r>
        <w:fldChar w:fldCharType="separate"/>
      </w:r>
      <w:r>
        <w:t>- 45 -</w:t>
      </w:r>
      <w:r>
        <w:fldChar w:fldCharType="end"/>
      </w:r>
      <w:r>
        <w:fldChar w:fldCharType="end"/>
      </w:r>
    </w:p>
    <w:p>
      <w:pPr>
        <w:pStyle w:val="30"/>
        <w:tabs>
          <w:tab w:val="right" w:leader="dot" w:pos="9060"/>
        </w:tabs>
        <w:ind w:left="400"/>
        <w:rPr>
          <w:rFonts w:asciiTheme="minorHAnsi" w:hAnsiTheme="minorHAnsi" w:eastAsiaTheme="minorEastAsia" w:cstheme="minorBidi"/>
          <w:kern w:val="2"/>
          <w:sz w:val="21"/>
          <w:szCs w:val="22"/>
        </w:rPr>
      </w:pPr>
      <w:r>
        <w:fldChar w:fldCharType="begin"/>
      </w:r>
      <w:r>
        <w:instrText xml:space="preserve"> HYPERLINK \l "_Toc149641998" </w:instrText>
      </w:r>
      <w:r>
        <w:fldChar w:fldCharType="separate"/>
      </w:r>
      <w:r>
        <w:rPr>
          <w:rStyle w:val="44"/>
          <w:color w:val="auto"/>
        </w:rPr>
        <w:t>5.7 与污染物迁移相关的环境因素分析</w:t>
      </w:r>
      <w:r>
        <w:tab/>
      </w:r>
      <w:r>
        <w:fldChar w:fldCharType="begin"/>
      </w:r>
      <w:r>
        <w:instrText xml:space="preserve"> PAGEREF _Toc149641998 \h </w:instrText>
      </w:r>
      <w:r>
        <w:fldChar w:fldCharType="separate"/>
      </w:r>
      <w:r>
        <w:t>- 45 -</w:t>
      </w:r>
      <w:r>
        <w:fldChar w:fldCharType="end"/>
      </w:r>
      <w:r>
        <w:fldChar w:fldCharType="end"/>
      </w:r>
    </w:p>
    <w:p>
      <w:pPr>
        <w:pStyle w:val="30"/>
        <w:tabs>
          <w:tab w:val="right" w:leader="dot" w:pos="9060"/>
        </w:tabs>
        <w:ind w:left="400"/>
        <w:rPr>
          <w:rFonts w:asciiTheme="minorHAnsi" w:hAnsiTheme="minorHAnsi" w:eastAsiaTheme="minorEastAsia" w:cstheme="minorBidi"/>
          <w:kern w:val="2"/>
          <w:sz w:val="21"/>
          <w:szCs w:val="22"/>
        </w:rPr>
      </w:pPr>
      <w:r>
        <w:fldChar w:fldCharType="begin"/>
      </w:r>
      <w:r>
        <w:instrText xml:space="preserve"> HYPERLINK \l "_Toc149641999" </w:instrText>
      </w:r>
      <w:r>
        <w:fldChar w:fldCharType="separate"/>
      </w:r>
      <w:r>
        <w:rPr>
          <w:rStyle w:val="44"/>
          <w:color w:val="auto"/>
        </w:rPr>
        <w:t>5.8 其它</w:t>
      </w:r>
      <w:r>
        <w:tab/>
      </w:r>
      <w:r>
        <w:fldChar w:fldCharType="begin"/>
      </w:r>
      <w:r>
        <w:instrText xml:space="preserve"> PAGEREF _Toc149641999 \h </w:instrText>
      </w:r>
      <w:r>
        <w:fldChar w:fldCharType="separate"/>
      </w:r>
      <w:r>
        <w:t>- 45 -</w:t>
      </w:r>
      <w:r>
        <w:fldChar w:fldCharType="end"/>
      </w:r>
      <w:r>
        <w:fldChar w:fldCharType="end"/>
      </w:r>
    </w:p>
    <w:p>
      <w:pPr>
        <w:pStyle w:val="28"/>
        <w:tabs>
          <w:tab w:val="right" w:leader="dot" w:pos="9060"/>
        </w:tabs>
        <w:rPr>
          <w:rFonts w:asciiTheme="minorHAnsi" w:hAnsiTheme="minorHAnsi" w:eastAsiaTheme="minorEastAsia" w:cstheme="minorBidi"/>
          <w:kern w:val="2"/>
          <w:sz w:val="21"/>
          <w:szCs w:val="22"/>
        </w:rPr>
      </w:pPr>
      <w:r>
        <w:fldChar w:fldCharType="begin"/>
      </w:r>
      <w:r>
        <w:instrText xml:space="preserve"> HYPERLINK \l "_Toc149642000" </w:instrText>
      </w:r>
      <w:r>
        <w:fldChar w:fldCharType="separate"/>
      </w:r>
      <w:r>
        <w:rPr>
          <w:rStyle w:val="44"/>
          <w:color w:val="auto"/>
        </w:rPr>
        <w:t>6 结果和分析</w:t>
      </w:r>
      <w:r>
        <w:tab/>
      </w:r>
      <w:r>
        <w:fldChar w:fldCharType="begin"/>
      </w:r>
      <w:r>
        <w:instrText xml:space="preserve"> PAGEREF _Toc149642000 \h </w:instrText>
      </w:r>
      <w:r>
        <w:fldChar w:fldCharType="separate"/>
      </w:r>
      <w:r>
        <w:t>- 46 -</w:t>
      </w:r>
      <w:r>
        <w:fldChar w:fldCharType="end"/>
      </w:r>
      <w:r>
        <w:fldChar w:fldCharType="end"/>
      </w:r>
    </w:p>
    <w:p>
      <w:pPr>
        <w:pStyle w:val="30"/>
        <w:tabs>
          <w:tab w:val="right" w:leader="dot" w:pos="9060"/>
        </w:tabs>
        <w:ind w:left="400"/>
        <w:rPr>
          <w:rFonts w:asciiTheme="minorHAnsi" w:hAnsiTheme="minorHAnsi" w:eastAsiaTheme="minorEastAsia" w:cstheme="minorBidi"/>
          <w:kern w:val="2"/>
          <w:sz w:val="21"/>
          <w:szCs w:val="22"/>
        </w:rPr>
      </w:pPr>
      <w:r>
        <w:fldChar w:fldCharType="begin"/>
      </w:r>
      <w:r>
        <w:instrText xml:space="preserve"> HYPERLINK \l "_Toc149642001" </w:instrText>
      </w:r>
      <w:r>
        <w:fldChar w:fldCharType="separate"/>
      </w:r>
      <w:r>
        <w:rPr>
          <w:rStyle w:val="44"/>
          <w:color w:val="auto"/>
        </w:rPr>
        <w:t>6.1 资料收集、现场踏勘和人员访谈一致性分析</w:t>
      </w:r>
      <w:r>
        <w:tab/>
      </w:r>
      <w:r>
        <w:fldChar w:fldCharType="begin"/>
      </w:r>
      <w:r>
        <w:instrText xml:space="preserve"> PAGEREF _Toc149642001 \h </w:instrText>
      </w:r>
      <w:r>
        <w:fldChar w:fldCharType="separate"/>
      </w:r>
      <w:r>
        <w:t>- 46 -</w:t>
      </w:r>
      <w:r>
        <w:fldChar w:fldCharType="end"/>
      </w:r>
      <w:r>
        <w:fldChar w:fldCharType="end"/>
      </w:r>
    </w:p>
    <w:p>
      <w:pPr>
        <w:pStyle w:val="30"/>
        <w:tabs>
          <w:tab w:val="right" w:leader="dot" w:pos="9060"/>
        </w:tabs>
        <w:ind w:left="400"/>
        <w:rPr>
          <w:rFonts w:asciiTheme="minorHAnsi" w:hAnsiTheme="minorHAnsi" w:eastAsiaTheme="minorEastAsia" w:cstheme="minorBidi"/>
          <w:kern w:val="2"/>
          <w:sz w:val="21"/>
          <w:szCs w:val="22"/>
        </w:rPr>
      </w:pPr>
      <w:r>
        <w:fldChar w:fldCharType="begin"/>
      </w:r>
      <w:r>
        <w:instrText xml:space="preserve"> HYPERLINK \l "_Toc149642002" </w:instrText>
      </w:r>
      <w:r>
        <w:fldChar w:fldCharType="separate"/>
      </w:r>
      <w:r>
        <w:rPr>
          <w:rStyle w:val="44"/>
          <w:color w:val="auto"/>
        </w:rPr>
        <w:t>6.2 初步调查结果</w:t>
      </w:r>
      <w:r>
        <w:tab/>
      </w:r>
      <w:r>
        <w:fldChar w:fldCharType="begin"/>
      </w:r>
      <w:r>
        <w:instrText xml:space="preserve"> PAGEREF _Toc149642002 \h </w:instrText>
      </w:r>
      <w:r>
        <w:fldChar w:fldCharType="separate"/>
      </w:r>
      <w:r>
        <w:t>- 46 -</w:t>
      </w:r>
      <w:r>
        <w:fldChar w:fldCharType="end"/>
      </w:r>
      <w:r>
        <w:fldChar w:fldCharType="end"/>
      </w:r>
    </w:p>
    <w:p>
      <w:pPr>
        <w:pStyle w:val="30"/>
        <w:tabs>
          <w:tab w:val="right" w:leader="dot" w:pos="9060"/>
        </w:tabs>
        <w:ind w:left="400"/>
        <w:rPr>
          <w:rFonts w:asciiTheme="minorHAnsi" w:hAnsiTheme="minorHAnsi" w:eastAsiaTheme="minorEastAsia" w:cstheme="minorBidi"/>
          <w:kern w:val="2"/>
          <w:sz w:val="21"/>
          <w:szCs w:val="22"/>
        </w:rPr>
      </w:pPr>
      <w:r>
        <w:fldChar w:fldCharType="begin"/>
      </w:r>
      <w:r>
        <w:instrText xml:space="preserve"> HYPERLINK \l "_Toc149642003" </w:instrText>
      </w:r>
      <w:r>
        <w:fldChar w:fldCharType="separate"/>
      </w:r>
      <w:r>
        <w:rPr>
          <w:rStyle w:val="44"/>
          <w:color w:val="auto"/>
        </w:rPr>
        <w:t>6.3调查结果分析</w:t>
      </w:r>
      <w:r>
        <w:tab/>
      </w:r>
      <w:r>
        <w:fldChar w:fldCharType="begin"/>
      </w:r>
      <w:r>
        <w:instrText xml:space="preserve"> PAGEREF _Toc149642003 \h </w:instrText>
      </w:r>
      <w:r>
        <w:fldChar w:fldCharType="separate"/>
      </w:r>
      <w:r>
        <w:t>- 47 -</w:t>
      </w:r>
      <w:r>
        <w:fldChar w:fldCharType="end"/>
      </w:r>
      <w:r>
        <w:fldChar w:fldCharType="end"/>
      </w:r>
    </w:p>
    <w:p>
      <w:pPr>
        <w:pStyle w:val="28"/>
        <w:tabs>
          <w:tab w:val="right" w:leader="dot" w:pos="9060"/>
        </w:tabs>
        <w:rPr>
          <w:rFonts w:asciiTheme="minorHAnsi" w:hAnsiTheme="minorHAnsi" w:eastAsiaTheme="minorEastAsia" w:cstheme="minorBidi"/>
          <w:kern w:val="2"/>
          <w:sz w:val="21"/>
          <w:szCs w:val="22"/>
        </w:rPr>
      </w:pPr>
      <w:r>
        <w:fldChar w:fldCharType="begin"/>
      </w:r>
      <w:r>
        <w:instrText xml:space="preserve"> HYPERLINK \l "_Toc149642004" </w:instrText>
      </w:r>
      <w:r>
        <w:fldChar w:fldCharType="separate"/>
      </w:r>
      <w:r>
        <w:rPr>
          <w:rStyle w:val="44"/>
          <w:color w:val="auto"/>
        </w:rPr>
        <w:t>7 结论与建议</w:t>
      </w:r>
      <w:r>
        <w:tab/>
      </w:r>
      <w:r>
        <w:fldChar w:fldCharType="begin"/>
      </w:r>
      <w:r>
        <w:instrText xml:space="preserve"> PAGEREF _Toc149642004 \h </w:instrText>
      </w:r>
      <w:r>
        <w:fldChar w:fldCharType="separate"/>
      </w:r>
      <w:r>
        <w:t>- 49 -</w:t>
      </w:r>
      <w:r>
        <w:fldChar w:fldCharType="end"/>
      </w:r>
      <w:r>
        <w:fldChar w:fldCharType="end"/>
      </w:r>
    </w:p>
    <w:p>
      <w:pPr>
        <w:pStyle w:val="30"/>
        <w:tabs>
          <w:tab w:val="right" w:leader="dot" w:pos="9060"/>
        </w:tabs>
        <w:ind w:left="400"/>
        <w:rPr>
          <w:rFonts w:asciiTheme="minorHAnsi" w:hAnsiTheme="minorHAnsi" w:eastAsiaTheme="minorEastAsia" w:cstheme="minorBidi"/>
          <w:kern w:val="2"/>
          <w:sz w:val="21"/>
          <w:szCs w:val="22"/>
        </w:rPr>
      </w:pPr>
      <w:r>
        <w:fldChar w:fldCharType="begin"/>
      </w:r>
      <w:r>
        <w:instrText xml:space="preserve"> HYPERLINK \l "_Toc149642005" </w:instrText>
      </w:r>
      <w:r>
        <w:fldChar w:fldCharType="separate"/>
      </w:r>
      <w:r>
        <w:rPr>
          <w:rStyle w:val="44"/>
          <w:color w:val="auto"/>
        </w:rPr>
        <w:t>7.1 结论</w:t>
      </w:r>
      <w:r>
        <w:tab/>
      </w:r>
      <w:r>
        <w:fldChar w:fldCharType="begin"/>
      </w:r>
      <w:r>
        <w:instrText xml:space="preserve"> PAGEREF _Toc149642005 \h </w:instrText>
      </w:r>
      <w:r>
        <w:fldChar w:fldCharType="separate"/>
      </w:r>
      <w:r>
        <w:t>- 49 -</w:t>
      </w:r>
      <w:r>
        <w:fldChar w:fldCharType="end"/>
      </w:r>
      <w:r>
        <w:fldChar w:fldCharType="end"/>
      </w:r>
    </w:p>
    <w:p>
      <w:pPr>
        <w:pStyle w:val="30"/>
        <w:tabs>
          <w:tab w:val="right" w:leader="dot" w:pos="9060"/>
        </w:tabs>
        <w:ind w:left="400"/>
        <w:rPr>
          <w:rFonts w:asciiTheme="minorHAnsi" w:hAnsiTheme="minorHAnsi" w:eastAsiaTheme="minorEastAsia" w:cstheme="minorBidi"/>
          <w:kern w:val="2"/>
          <w:sz w:val="21"/>
          <w:szCs w:val="22"/>
        </w:rPr>
      </w:pPr>
      <w:r>
        <w:fldChar w:fldCharType="begin"/>
      </w:r>
      <w:r>
        <w:instrText xml:space="preserve"> HYPERLINK \l "_Toc149642006" </w:instrText>
      </w:r>
      <w:r>
        <w:fldChar w:fldCharType="separate"/>
      </w:r>
      <w:r>
        <w:rPr>
          <w:rStyle w:val="44"/>
          <w:color w:val="auto"/>
        </w:rPr>
        <w:t>7.2 建议</w:t>
      </w:r>
      <w:r>
        <w:tab/>
      </w:r>
      <w:r>
        <w:fldChar w:fldCharType="begin"/>
      </w:r>
      <w:r>
        <w:instrText xml:space="preserve"> PAGEREF _Toc149642006 \h </w:instrText>
      </w:r>
      <w:r>
        <w:fldChar w:fldCharType="separate"/>
      </w:r>
      <w:r>
        <w:t>- 49 -</w:t>
      </w:r>
      <w:r>
        <w:fldChar w:fldCharType="end"/>
      </w:r>
      <w:r>
        <w:fldChar w:fldCharType="end"/>
      </w:r>
    </w:p>
    <w:p>
      <w:pPr>
        <w:pStyle w:val="28"/>
        <w:tabs>
          <w:tab w:val="right" w:leader="dot" w:pos="9060"/>
        </w:tabs>
        <w:rPr>
          <w:rFonts w:asciiTheme="minorHAnsi" w:hAnsiTheme="minorHAnsi" w:eastAsiaTheme="minorEastAsia" w:cstheme="minorBidi"/>
          <w:kern w:val="2"/>
          <w:sz w:val="21"/>
          <w:szCs w:val="22"/>
        </w:rPr>
      </w:pPr>
      <w:r>
        <w:fldChar w:fldCharType="begin"/>
      </w:r>
      <w:r>
        <w:instrText xml:space="preserve"> HYPERLINK \l "_Toc149642007" </w:instrText>
      </w:r>
      <w:r>
        <w:fldChar w:fldCharType="separate"/>
      </w:r>
      <w:r>
        <w:rPr>
          <w:rStyle w:val="44"/>
          <w:color w:val="auto"/>
        </w:rPr>
        <w:t>8 不确定性分析</w:t>
      </w:r>
      <w:r>
        <w:tab/>
      </w:r>
      <w:r>
        <w:fldChar w:fldCharType="begin"/>
      </w:r>
      <w:r>
        <w:instrText xml:space="preserve"> PAGEREF _Toc149642007 \h </w:instrText>
      </w:r>
      <w:r>
        <w:fldChar w:fldCharType="separate"/>
      </w:r>
      <w:r>
        <w:t>- 50 -</w:t>
      </w:r>
      <w:r>
        <w:fldChar w:fldCharType="end"/>
      </w:r>
      <w:r>
        <w:fldChar w:fldCharType="end"/>
      </w:r>
    </w:p>
    <w:p>
      <w:pPr>
        <w:spacing w:line="440" w:lineRule="exact"/>
        <w:rPr>
          <w:szCs w:val="21"/>
        </w:rPr>
      </w:pPr>
      <w:r>
        <w:rPr>
          <w:sz w:val="21"/>
          <w:szCs w:val="21"/>
        </w:rPr>
        <w:fldChar w:fldCharType="end"/>
      </w:r>
    </w:p>
    <w:p>
      <w:pPr>
        <w:spacing w:line="400" w:lineRule="exact"/>
        <w:rPr>
          <w:sz w:val="21"/>
          <w:szCs w:val="21"/>
        </w:rPr>
      </w:pPr>
      <w:r>
        <w:rPr>
          <w:sz w:val="21"/>
          <w:szCs w:val="21"/>
        </w:rPr>
        <w:t>附件</w:t>
      </w:r>
      <w:r>
        <w:rPr>
          <w:rFonts w:hint="eastAsia"/>
          <w:sz w:val="21"/>
          <w:szCs w:val="21"/>
        </w:rPr>
        <w:t>1</w:t>
      </w:r>
      <w:r>
        <w:rPr>
          <w:sz w:val="21"/>
          <w:szCs w:val="21"/>
        </w:rPr>
        <w:t xml:space="preserve"> 现场踏勘记录</w:t>
      </w:r>
    </w:p>
    <w:p>
      <w:pPr>
        <w:spacing w:line="400" w:lineRule="exact"/>
        <w:rPr>
          <w:sz w:val="21"/>
          <w:szCs w:val="21"/>
        </w:rPr>
      </w:pPr>
      <w:r>
        <w:rPr>
          <w:sz w:val="21"/>
          <w:szCs w:val="21"/>
        </w:rPr>
        <w:t>附件</w:t>
      </w:r>
      <w:r>
        <w:rPr>
          <w:rFonts w:hint="eastAsia"/>
          <w:sz w:val="21"/>
          <w:szCs w:val="21"/>
        </w:rPr>
        <w:t>2</w:t>
      </w:r>
      <w:r>
        <w:rPr>
          <w:sz w:val="21"/>
          <w:szCs w:val="21"/>
        </w:rPr>
        <w:t xml:space="preserve"> 现场访谈记录</w:t>
      </w:r>
    </w:p>
    <w:p>
      <w:pPr>
        <w:spacing w:line="400" w:lineRule="exact"/>
        <w:rPr>
          <w:sz w:val="21"/>
          <w:szCs w:val="21"/>
        </w:rPr>
      </w:pPr>
      <w:r>
        <w:rPr>
          <w:sz w:val="21"/>
          <w:szCs w:val="21"/>
        </w:rPr>
        <w:t>附件3 土壤快筛检测仪器校准记录单</w:t>
      </w:r>
    </w:p>
    <w:p>
      <w:pPr>
        <w:spacing w:line="400" w:lineRule="exact"/>
        <w:rPr>
          <w:sz w:val="21"/>
          <w:szCs w:val="21"/>
        </w:rPr>
      </w:pPr>
      <w:r>
        <w:rPr>
          <w:sz w:val="21"/>
          <w:szCs w:val="21"/>
        </w:rPr>
        <w:t>附件4 土壤快筛检测记录单</w:t>
      </w:r>
    </w:p>
    <w:p>
      <w:pPr>
        <w:spacing w:line="400" w:lineRule="exact"/>
        <w:rPr>
          <w:sz w:val="21"/>
          <w:szCs w:val="21"/>
        </w:rPr>
      </w:pPr>
      <w:r>
        <w:rPr>
          <w:sz w:val="21"/>
          <w:szCs w:val="21"/>
        </w:rPr>
        <w:t>附件</w:t>
      </w:r>
      <w:r>
        <w:rPr>
          <w:rFonts w:hint="eastAsia"/>
          <w:sz w:val="21"/>
          <w:szCs w:val="21"/>
        </w:rPr>
        <w:t>5</w:t>
      </w:r>
      <w:r>
        <w:rPr>
          <w:sz w:val="21"/>
          <w:szCs w:val="21"/>
        </w:rPr>
        <w:t xml:space="preserve"> </w:t>
      </w:r>
      <w:r>
        <w:rPr>
          <w:rFonts w:hint="eastAsia"/>
          <w:sz w:val="21"/>
          <w:szCs w:val="21"/>
        </w:rPr>
        <w:t>质控报告</w:t>
      </w:r>
    </w:p>
    <w:p>
      <w:pPr>
        <w:spacing w:line="400" w:lineRule="exact"/>
        <w:rPr>
          <w:rFonts w:hint="default" w:eastAsia="宋体"/>
          <w:sz w:val="21"/>
          <w:szCs w:val="21"/>
          <w:lang w:val="en-US" w:eastAsia="zh-CN"/>
        </w:rPr>
      </w:pPr>
      <w:r>
        <w:rPr>
          <w:sz w:val="21"/>
          <w:szCs w:val="21"/>
        </w:rPr>
        <w:t>附件</w:t>
      </w:r>
      <w:r>
        <w:rPr>
          <w:rFonts w:hint="eastAsia"/>
          <w:sz w:val="21"/>
          <w:szCs w:val="21"/>
          <w:lang w:val="en-US" w:eastAsia="zh-CN"/>
        </w:rPr>
        <w:t>6</w:t>
      </w:r>
      <w:r>
        <w:rPr>
          <w:sz w:val="21"/>
          <w:szCs w:val="21"/>
        </w:rPr>
        <w:t xml:space="preserve"> </w:t>
      </w:r>
      <w:r>
        <w:rPr>
          <w:rFonts w:hint="eastAsia"/>
          <w:sz w:val="21"/>
          <w:szCs w:val="21"/>
          <w:lang w:val="en-US" w:eastAsia="zh-CN"/>
        </w:rPr>
        <w:t>评审会签到单</w:t>
      </w:r>
    </w:p>
    <w:p>
      <w:pPr>
        <w:spacing w:line="400" w:lineRule="exact"/>
        <w:rPr>
          <w:rFonts w:hint="eastAsia" w:eastAsia="宋体"/>
          <w:sz w:val="21"/>
          <w:szCs w:val="21"/>
          <w:lang w:eastAsia="zh-CN"/>
        </w:rPr>
      </w:pPr>
      <w:r>
        <w:rPr>
          <w:sz w:val="21"/>
          <w:szCs w:val="21"/>
        </w:rPr>
        <w:t>附件</w:t>
      </w:r>
      <w:r>
        <w:rPr>
          <w:rFonts w:hint="eastAsia"/>
          <w:sz w:val="21"/>
          <w:szCs w:val="21"/>
          <w:lang w:val="en-US" w:eastAsia="zh-CN"/>
        </w:rPr>
        <w:t>7</w:t>
      </w:r>
      <w:r>
        <w:rPr>
          <w:sz w:val="21"/>
          <w:szCs w:val="21"/>
        </w:rPr>
        <w:t xml:space="preserve"> </w:t>
      </w:r>
      <w:r>
        <w:rPr>
          <w:rFonts w:hint="eastAsia"/>
          <w:sz w:val="21"/>
          <w:szCs w:val="21"/>
          <w:lang w:val="en-US" w:eastAsia="zh-CN"/>
        </w:rPr>
        <w:t>专家组意见</w:t>
      </w:r>
    </w:p>
    <w:p>
      <w:pPr>
        <w:spacing w:line="400" w:lineRule="exact"/>
        <w:rPr>
          <w:rFonts w:hint="eastAsia" w:eastAsia="宋体"/>
          <w:sz w:val="21"/>
          <w:szCs w:val="21"/>
          <w:lang w:eastAsia="zh-CN"/>
        </w:rPr>
      </w:pPr>
      <w:r>
        <w:rPr>
          <w:sz w:val="21"/>
          <w:szCs w:val="21"/>
        </w:rPr>
        <w:t>附件</w:t>
      </w:r>
      <w:r>
        <w:rPr>
          <w:rFonts w:hint="eastAsia"/>
          <w:sz w:val="21"/>
          <w:szCs w:val="21"/>
          <w:lang w:val="en-US" w:eastAsia="zh-CN"/>
        </w:rPr>
        <w:t>8</w:t>
      </w:r>
      <w:r>
        <w:rPr>
          <w:sz w:val="21"/>
          <w:szCs w:val="21"/>
        </w:rPr>
        <w:t xml:space="preserve"> </w:t>
      </w:r>
      <w:r>
        <w:rPr>
          <w:rFonts w:hint="eastAsia"/>
          <w:sz w:val="21"/>
          <w:szCs w:val="21"/>
          <w:lang w:val="en-US" w:eastAsia="zh-CN"/>
        </w:rPr>
        <w:t>修改清单</w:t>
      </w:r>
    </w:p>
    <w:p>
      <w:pPr>
        <w:pStyle w:val="2"/>
        <w:rPr>
          <w:rFonts w:ascii="Times New Roman" w:hAnsi="Times New Roman"/>
        </w:rPr>
      </w:pPr>
    </w:p>
    <w:p>
      <w:pPr>
        <w:pStyle w:val="145"/>
        <w:spacing w:after="156" w:afterLines="50"/>
        <w:ind w:firstLine="640"/>
        <w:rPr>
          <w:rFonts w:ascii="Times New Roman" w:hAnsi="Times New Roman"/>
          <w:sz w:val="32"/>
          <w:szCs w:val="32"/>
        </w:rPr>
        <w:sectPr>
          <w:headerReference r:id="rId4" w:type="default"/>
          <w:footerReference r:id="rId5" w:type="default"/>
          <w:pgSz w:w="11906" w:h="16838"/>
          <w:pgMar w:top="1418" w:right="1418" w:bottom="1418" w:left="1418" w:header="851" w:footer="992" w:gutter="0"/>
          <w:pgNumType w:fmt="upperRoman" w:start="1"/>
          <w:cols w:space="720" w:num="1"/>
          <w:docGrid w:type="lines" w:linePitch="312" w:charSpace="0"/>
        </w:sectPr>
      </w:pPr>
    </w:p>
    <w:p>
      <w:pPr>
        <w:pStyle w:val="3"/>
        <w:spacing w:before="0" w:after="0" w:line="440" w:lineRule="exact"/>
        <w:rPr>
          <w:rFonts w:ascii="Times New Roman" w:hAnsi="Times New Roman"/>
          <w:bCs w:val="0"/>
          <w:kern w:val="2"/>
          <w:sz w:val="32"/>
          <w:szCs w:val="32"/>
        </w:rPr>
      </w:pPr>
      <w:bookmarkStart w:id="2" w:name="_Toc149641952"/>
      <w:r>
        <w:rPr>
          <w:rFonts w:ascii="Times New Roman" w:hAnsi="Times New Roman"/>
          <w:bCs w:val="0"/>
          <w:kern w:val="2"/>
          <w:sz w:val="32"/>
          <w:szCs w:val="32"/>
        </w:rPr>
        <w:t xml:space="preserve">1 </w:t>
      </w:r>
      <w:bookmarkEnd w:id="0"/>
      <w:r>
        <w:rPr>
          <w:rFonts w:ascii="Times New Roman" w:hAnsi="Times New Roman"/>
          <w:bCs w:val="0"/>
          <w:kern w:val="2"/>
          <w:sz w:val="32"/>
          <w:szCs w:val="32"/>
        </w:rPr>
        <w:t>前言</w:t>
      </w:r>
      <w:bookmarkEnd w:id="2"/>
    </w:p>
    <w:p>
      <w:pPr>
        <w:spacing w:line="440" w:lineRule="exact"/>
        <w:ind w:firstLine="480" w:firstLineChars="200"/>
        <w:rPr>
          <w:color w:val="auto"/>
          <w:sz w:val="24"/>
          <w:szCs w:val="24"/>
        </w:rPr>
      </w:pPr>
      <w:r>
        <w:rPr>
          <w:sz w:val="24"/>
          <w:szCs w:val="24"/>
        </w:rPr>
        <w:t>金华市婺城区婺城新区单元(ZX-15-01-19)地块占地63950.01m</w:t>
      </w:r>
      <w:r>
        <w:rPr>
          <w:sz w:val="24"/>
          <w:szCs w:val="24"/>
          <w:vertAlign w:val="superscript"/>
        </w:rPr>
        <w:t>2</w:t>
      </w:r>
      <w:r>
        <w:rPr>
          <w:sz w:val="24"/>
          <w:szCs w:val="24"/>
        </w:rPr>
        <w:t>，位于东堰街以东、东俞路以南、金江南街以西、横三路以北</w:t>
      </w:r>
      <w:r>
        <w:rPr>
          <w:rFonts w:hint="eastAsia"/>
          <w:sz w:val="24"/>
          <w:szCs w:val="24"/>
        </w:rPr>
        <w:t>。</w:t>
      </w:r>
      <w:r>
        <w:rPr>
          <w:sz w:val="24"/>
          <w:szCs w:val="24"/>
        </w:rPr>
        <w:t>地块</w:t>
      </w:r>
      <w:r>
        <w:rPr>
          <w:rFonts w:hint="eastAsia"/>
          <w:sz w:val="24"/>
          <w:szCs w:val="24"/>
        </w:rPr>
        <w:t>东至东俞村耕地，隔耕地为东俞村；南至东俞村荒地，隔荒地为临江东路；西至东俞村荒地，隔荒地为地表水白沙溪；北至东俞村耕地和池塘</w:t>
      </w:r>
      <w:r>
        <w:rPr>
          <w:sz w:val="24"/>
          <w:szCs w:val="24"/>
        </w:rPr>
        <w:t>，地块中心地理坐标为29.101940°N，119.556952°E。目前地块内已</w:t>
      </w:r>
      <w:r>
        <w:rPr>
          <w:rFonts w:hint="eastAsia"/>
          <w:sz w:val="24"/>
          <w:szCs w:val="24"/>
        </w:rPr>
        <w:t>开</w:t>
      </w:r>
      <w:r>
        <w:rPr>
          <w:rFonts w:hint="eastAsia"/>
          <w:color w:val="auto"/>
          <w:sz w:val="24"/>
          <w:szCs w:val="24"/>
        </w:rPr>
        <w:t>展</w:t>
      </w:r>
      <w:r>
        <w:rPr>
          <w:color w:val="auto"/>
          <w:sz w:val="24"/>
          <w:szCs w:val="24"/>
        </w:rPr>
        <w:t>施工</w:t>
      </w:r>
      <w:r>
        <w:rPr>
          <w:rFonts w:hint="eastAsia"/>
          <w:color w:val="auto"/>
          <w:sz w:val="24"/>
          <w:szCs w:val="24"/>
        </w:rPr>
        <w:t>平整</w:t>
      </w:r>
      <w:r>
        <w:rPr>
          <w:color w:val="auto"/>
          <w:sz w:val="24"/>
          <w:szCs w:val="24"/>
        </w:rPr>
        <w:t>，</w:t>
      </w:r>
      <w:r>
        <w:rPr>
          <w:rFonts w:hint="eastAsia"/>
          <w:color w:val="auto"/>
          <w:sz w:val="24"/>
          <w:szCs w:val="24"/>
        </w:rPr>
        <w:t>部分</w:t>
      </w:r>
      <w:r>
        <w:rPr>
          <w:color w:val="auto"/>
          <w:sz w:val="24"/>
        </w:rPr>
        <w:t>表层土已被开挖</w:t>
      </w:r>
      <w:r>
        <w:rPr>
          <w:color w:val="auto"/>
          <w:sz w:val="24"/>
          <w:szCs w:val="24"/>
        </w:rPr>
        <w:t>。</w:t>
      </w:r>
      <w:r>
        <w:rPr>
          <w:rFonts w:hint="eastAsia"/>
          <w:color w:val="auto"/>
          <w:sz w:val="24"/>
          <w:szCs w:val="24"/>
        </w:rPr>
        <w:t>根据</w:t>
      </w:r>
      <w:r>
        <w:rPr>
          <w:color w:val="auto"/>
          <w:sz w:val="24"/>
          <w:szCs w:val="24"/>
        </w:rPr>
        <w:t>《金华市婺城区婺城新区单元(ZX-15-01-19)地块</w:t>
      </w:r>
      <w:r>
        <w:rPr>
          <w:rFonts w:hint="eastAsia"/>
          <w:color w:val="auto"/>
          <w:sz w:val="24"/>
          <w:szCs w:val="24"/>
        </w:rPr>
        <w:t>规划条件书</w:t>
      </w:r>
      <w:r>
        <w:rPr>
          <w:color w:val="auto"/>
          <w:sz w:val="24"/>
          <w:szCs w:val="24"/>
        </w:rPr>
        <w:t>》(</w:t>
      </w:r>
      <w:r>
        <w:rPr>
          <w:rFonts w:hint="eastAsia"/>
          <w:color w:val="auto"/>
          <w:sz w:val="24"/>
          <w:szCs w:val="24"/>
        </w:rPr>
        <w:t>金自然资规条3</w:t>
      </w:r>
      <w:r>
        <w:rPr>
          <w:color w:val="auto"/>
          <w:sz w:val="24"/>
          <w:szCs w:val="24"/>
        </w:rPr>
        <w:t>30703202300044</w:t>
      </w:r>
      <w:r>
        <w:rPr>
          <w:rFonts w:hint="eastAsia"/>
          <w:color w:val="auto"/>
          <w:sz w:val="24"/>
          <w:szCs w:val="24"/>
        </w:rPr>
        <w:t>号</w:t>
      </w:r>
      <w:r>
        <w:rPr>
          <w:color w:val="auto"/>
          <w:sz w:val="24"/>
          <w:szCs w:val="24"/>
        </w:rPr>
        <w:t>)</w:t>
      </w:r>
      <w:r>
        <w:rPr>
          <w:rFonts w:hint="eastAsia"/>
          <w:color w:val="auto"/>
          <w:sz w:val="24"/>
          <w:szCs w:val="24"/>
        </w:rPr>
        <w:t>，</w:t>
      </w:r>
      <w:r>
        <w:rPr>
          <w:color w:val="auto"/>
          <w:sz w:val="24"/>
          <w:szCs w:val="24"/>
        </w:rPr>
        <w:t>本地块规划用地性质为</w:t>
      </w:r>
      <w:r>
        <w:rPr>
          <w:rFonts w:hint="eastAsia"/>
          <w:color w:val="auto"/>
          <w:sz w:val="24"/>
          <w:szCs w:val="24"/>
        </w:rPr>
        <w:t>二类居住用地</w:t>
      </w:r>
      <w:r>
        <w:rPr>
          <w:color w:val="auto"/>
          <w:sz w:val="24"/>
          <w:szCs w:val="24"/>
        </w:rPr>
        <w:t>(R2)</w:t>
      </w:r>
      <w:r>
        <w:rPr>
          <w:rFonts w:hint="eastAsia"/>
          <w:color w:val="auto"/>
          <w:sz w:val="24"/>
          <w:szCs w:val="24"/>
        </w:rPr>
        <w:t>和地下人民防空设施(UG25)，</w:t>
      </w:r>
      <w:r>
        <w:rPr>
          <w:rFonts w:hint="eastAsia"/>
          <w:color w:val="auto"/>
          <w:sz w:val="24"/>
        </w:rPr>
        <w:t>根据《</w:t>
      </w:r>
      <w:r>
        <w:rPr>
          <w:color w:val="auto"/>
          <w:sz w:val="24"/>
        </w:rPr>
        <w:t>国土空间调查、规划、用途管制用地用海分类指南》(自然资办发〔2020〕51号)，该地块用地性质属于</w:t>
      </w:r>
      <w:r>
        <w:rPr>
          <w:rFonts w:hint="eastAsia"/>
          <w:color w:val="auto"/>
          <w:sz w:val="24"/>
        </w:rPr>
        <w:t>居住</w:t>
      </w:r>
      <w:r>
        <w:rPr>
          <w:color w:val="auto"/>
          <w:sz w:val="24"/>
        </w:rPr>
        <w:t>用地范畴内</w:t>
      </w:r>
      <w:r>
        <w:rPr>
          <w:color w:val="auto"/>
          <w:sz w:val="24"/>
          <w:szCs w:val="24"/>
        </w:rPr>
        <w:t>。</w:t>
      </w:r>
    </w:p>
    <w:p>
      <w:pPr>
        <w:spacing w:line="440" w:lineRule="exact"/>
        <w:ind w:firstLine="480" w:firstLineChars="200"/>
        <w:rPr>
          <w:color w:val="auto"/>
          <w:sz w:val="24"/>
          <w:szCs w:val="24"/>
        </w:rPr>
      </w:pPr>
      <w:r>
        <w:rPr>
          <w:color w:val="auto"/>
          <w:sz w:val="24"/>
          <w:szCs w:val="24"/>
        </w:rPr>
        <w:t>金华市婺城区婺城新区单元(ZX-15-01-19)地块在2011年以前</w:t>
      </w:r>
      <w:r>
        <w:rPr>
          <w:rFonts w:hint="eastAsia"/>
          <w:color w:val="auto"/>
          <w:sz w:val="24"/>
          <w:szCs w:val="24"/>
        </w:rPr>
        <w:t>以种植水稻为主</w:t>
      </w:r>
      <w:r>
        <w:rPr>
          <w:color w:val="auto"/>
          <w:sz w:val="24"/>
          <w:szCs w:val="24"/>
        </w:rPr>
        <w:t>；2011年~2023年期间</w:t>
      </w:r>
      <w:r>
        <w:rPr>
          <w:rFonts w:hint="eastAsia"/>
          <w:color w:val="auto"/>
          <w:sz w:val="24"/>
          <w:szCs w:val="24"/>
        </w:rPr>
        <w:t>部分土地</w:t>
      </w:r>
      <w:r>
        <w:rPr>
          <w:color w:val="auto"/>
          <w:sz w:val="24"/>
          <w:szCs w:val="24"/>
        </w:rPr>
        <w:t>种植林木</w:t>
      </w:r>
      <w:r>
        <w:rPr>
          <w:rFonts w:hint="eastAsia"/>
          <w:color w:val="auto"/>
          <w:sz w:val="24"/>
          <w:szCs w:val="24"/>
        </w:rPr>
        <w:t>和时蔬，部分土地为荒地和池塘</w:t>
      </w:r>
      <w:r>
        <w:rPr>
          <w:color w:val="auto"/>
          <w:sz w:val="24"/>
          <w:szCs w:val="24"/>
        </w:rPr>
        <w:t>；2023年9月开始进行施工</w:t>
      </w:r>
      <w:r>
        <w:rPr>
          <w:rFonts w:hint="eastAsia"/>
          <w:color w:val="auto"/>
          <w:sz w:val="24"/>
          <w:szCs w:val="24"/>
        </w:rPr>
        <w:t>平整土地</w:t>
      </w:r>
      <w:r>
        <w:rPr>
          <w:color w:val="auto"/>
          <w:sz w:val="24"/>
          <w:shd w:val="clear" w:color="auto" w:fill="FFFFFF"/>
        </w:rPr>
        <w:t>。</w:t>
      </w:r>
    </w:p>
    <w:p>
      <w:pPr>
        <w:spacing w:line="440" w:lineRule="exact"/>
        <w:ind w:firstLine="480" w:firstLineChars="200"/>
        <w:rPr>
          <w:sz w:val="24"/>
          <w:szCs w:val="24"/>
        </w:rPr>
      </w:pPr>
      <w:r>
        <w:rPr>
          <w:color w:val="auto"/>
          <w:sz w:val="24"/>
          <w:szCs w:val="24"/>
        </w:rPr>
        <w:t>目前，地块</w:t>
      </w:r>
      <w:r>
        <w:rPr>
          <w:rFonts w:hint="eastAsia"/>
          <w:color w:val="auto"/>
          <w:sz w:val="24"/>
          <w:szCs w:val="24"/>
        </w:rPr>
        <w:t>相邻</w:t>
      </w:r>
      <w:r>
        <w:rPr>
          <w:color w:val="auto"/>
          <w:sz w:val="24"/>
          <w:szCs w:val="24"/>
        </w:rPr>
        <w:t>东侧</w:t>
      </w:r>
      <w:r>
        <w:rPr>
          <w:rFonts w:hint="eastAsia"/>
          <w:color w:val="auto"/>
          <w:sz w:val="24"/>
          <w:szCs w:val="24"/>
        </w:rPr>
        <w:t>以耕地为主</w:t>
      </w:r>
      <w:r>
        <w:rPr>
          <w:color w:val="auto"/>
          <w:sz w:val="24"/>
          <w:szCs w:val="24"/>
        </w:rPr>
        <w:t>，相邻南侧</w:t>
      </w:r>
      <w:r>
        <w:rPr>
          <w:rFonts w:hint="eastAsia"/>
          <w:color w:val="auto"/>
          <w:sz w:val="24"/>
          <w:szCs w:val="24"/>
        </w:rPr>
        <w:t>和西侧</w:t>
      </w:r>
      <w:r>
        <w:rPr>
          <w:color w:val="auto"/>
          <w:sz w:val="24"/>
          <w:szCs w:val="24"/>
        </w:rPr>
        <w:t>为</w:t>
      </w:r>
      <w:r>
        <w:rPr>
          <w:rFonts w:hint="eastAsia"/>
          <w:color w:val="auto"/>
          <w:sz w:val="24"/>
          <w:szCs w:val="24"/>
        </w:rPr>
        <w:t>荒地为主，相邻北侧以耕地和池塘为主</w:t>
      </w:r>
      <w:r>
        <w:rPr>
          <w:color w:val="auto"/>
          <w:sz w:val="24"/>
          <w:szCs w:val="24"/>
        </w:rPr>
        <w:t>。相邻地块历史上主要是耕地、荒地和池塘。地块</w:t>
      </w:r>
      <w:r>
        <w:rPr>
          <w:rFonts w:hint="eastAsia"/>
          <w:color w:val="auto"/>
          <w:sz w:val="24"/>
          <w:szCs w:val="24"/>
        </w:rPr>
        <w:t>周边</w:t>
      </w:r>
      <w:r>
        <w:rPr>
          <w:color w:val="auto"/>
          <w:sz w:val="24"/>
          <w:szCs w:val="24"/>
        </w:rPr>
        <w:t>100m</w:t>
      </w:r>
      <w:r>
        <w:rPr>
          <w:rFonts w:hint="eastAsia"/>
          <w:color w:val="auto"/>
          <w:sz w:val="24"/>
          <w:szCs w:val="24"/>
        </w:rPr>
        <w:t>范围内无</w:t>
      </w:r>
      <w:r>
        <w:rPr>
          <w:color w:val="auto"/>
          <w:sz w:val="24"/>
          <w:szCs w:val="24"/>
        </w:rPr>
        <w:t>工业企</w:t>
      </w:r>
      <w:r>
        <w:rPr>
          <w:sz w:val="24"/>
          <w:szCs w:val="24"/>
        </w:rPr>
        <w:t>业</w:t>
      </w:r>
      <w:r>
        <w:rPr>
          <w:rFonts w:hint="eastAsia"/>
          <w:sz w:val="24"/>
          <w:szCs w:val="24"/>
        </w:rPr>
        <w:t>，1k</w:t>
      </w:r>
      <w:r>
        <w:rPr>
          <w:sz w:val="24"/>
          <w:szCs w:val="24"/>
        </w:rPr>
        <w:t>m</w:t>
      </w:r>
      <w:r>
        <w:rPr>
          <w:rFonts w:hint="eastAsia"/>
          <w:sz w:val="24"/>
          <w:szCs w:val="24"/>
        </w:rPr>
        <w:t>范围内无重污染</w:t>
      </w:r>
      <w:r>
        <w:rPr>
          <w:sz w:val="24"/>
          <w:szCs w:val="24"/>
        </w:rPr>
        <w:t>工业企业。</w:t>
      </w:r>
    </w:p>
    <w:p>
      <w:pPr>
        <w:spacing w:line="440" w:lineRule="exact"/>
        <w:ind w:firstLine="480" w:firstLineChars="200"/>
        <w:rPr>
          <w:sz w:val="24"/>
          <w:szCs w:val="24"/>
        </w:rPr>
      </w:pPr>
      <w:r>
        <w:rPr>
          <w:sz w:val="24"/>
          <w:szCs w:val="24"/>
        </w:rPr>
        <w:t>根据《中华人民共和国土壤污染防治法》第五十九条中“用途变更为住宅、公共管理与公共服务用地的，变更前应当按照规定进行土壤污染状况调查。”本地块未来规划为</w:t>
      </w:r>
      <w:r>
        <w:rPr>
          <w:rFonts w:hint="eastAsia"/>
          <w:sz w:val="24"/>
          <w:szCs w:val="24"/>
        </w:rPr>
        <w:t>二类居住用地</w:t>
      </w:r>
      <w:r>
        <w:rPr>
          <w:sz w:val="24"/>
          <w:szCs w:val="24"/>
        </w:rPr>
        <w:t>(R2)，因此需进行土壤污染状况调查。</w:t>
      </w:r>
    </w:p>
    <w:p>
      <w:pPr>
        <w:spacing w:line="440" w:lineRule="exact"/>
        <w:ind w:firstLine="480" w:firstLineChars="200"/>
        <w:rPr>
          <w:sz w:val="24"/>
          <w:szCs w:val="24"/>
        </w:rPr>
      </w:pPr>
      <w:r>
        <w:rPr>
          <w:sz w:val="24"/>
          <w:szCs w:val="24"/>
        </w:rPr>
        <w:t>对照《浙江省建设用地土壤污染风险管控和修复监督管理办法》(浙环发[2021]21号)，本地块属于甲类地块，应按规定进行土壤污染状况调查。根据该文件第十条，属于甲类地块的，责任人应按要求进行土壤污染状况调查，编制调查报告并报所在地设区市生态环境部门，由生态环境部门会同同级自然资源主管部门组织评审。另外，根据《金华市生态环境局金华市自然资源和规划局关于做好贯彻落实&lt;浙江省建设用地土壤污染风险管控和修复“一件事”改革方案&gt;和&lt;浙江省建设用地土壤污染风险管控和修复监督管理办法&gt;的通知》(金环函[2022]5号)，属于甲类的土壤污染状况调查报告，由县(市、区)生态环境分局会同同级自然资源主管部门组织评审。</w:t>
      </w:r>
    </w:p>
    <w:p>
      <w:pPr>
        <w:spacing w:line="440" w:lineRule="exact"/>
        <w:ind w:firstLine="480" w:firstLineChars="200"/>
        <w:rPr>
          <w:sz w:val="24"/>
          <w:szCs w:val="24"/>
        </w:rPr>
      </w:pPr>
      <w:r>
        <w:rPr>
          <w:rFonts w:hint="eastAsia"/>
          <w:sz w:val="24"/>
          <w:szCs w:val="24"/>
        </w:rPr>
        <w:t>金华市金婺资源开发集团有限公司</w:t>
      </w:r>
      <w:r>
        <w:rPr>
          <w:sz w:val="24"/>
          <w:szCs w:val="24"/>
        </w:rPr>
        <w:t>积极响应国家政策号召，为摸清地块内土壤污染状况，委托浙江环耀环境建设有限公司(以下简称我单位)对金华市婺城区婺城新区单元(ZX-15-01-19)地块开展土壤污染状况调查工作。</w:t>
      </w:r>
    </w:p>
    <w:p>
      <w:pPr>
        <w:spacing w:line="440" w:lineRule="exact"/>
        <w:ind w:firstLine="480" w:firstLineChars="200"/>
        <w:rPr>
          <w:sz w:val="24"/>
          <w:szCs w:val="24"/>
        </w:rPr>
      </w:pPr>
      <w:r>
        <w:rPr>
          <w:sz w:val="24"/>
          <w:szCs w:val="24"/>
        </w:rPr>
        <w:t>我单位根据地块内污染源分布情况的调查分析，经过资料收集与分析、现场踏勘和人员访谈，并结合有关导则和标准编制了《金华市婺城区婺城新区单元(ZX-15-01-19)地块第一阶段土壤污染状况调查报告》(送审稿)。根据资料收集、现场踏勘、人员访谈、现场快筛检测等调查结论，本地块调查可结束于第一次阶段土壤污染状况调查，不需开展第二阶段土壤污染状况调查工作，直接用于</w:t>
      </w:r>
      <w:r>
        <w:rPr>
          <w:rFonts w:hint="eastAsia"/>
          <w:sz w:val="24"/>
          <w:szCs w:val="24"/>
        </w:rPr>
        <w:t>居住</w:t>
      </w:r>
      <w:r>
        <w:rPr>
          <w:sz w:val="24"/>
          <w:szCs w:val="24"/>
        </w:rPr>
        <w:t>用地开发是可行的。</w:t>
      </w:r>
    </w:p>
    <w:p>
      <w:pPr>
        <w:pStyle w:val="13"/>
        <w:spacing w:line="440" w:lineRule="exact"/>
        <w:ind w:left="0" w:leftChars="0" w:right="0" w:rightChars="0" w:firstLine="480" w:firstLineChars="200"/>
        <w:rPr>
          <w:rFonts w:ascii="Times New Roman"/>
        </w:rPr>
      </w:pPr>
      <w:r>
        <w:rPr>
          <w:rFonts w:ascii="Times New Roman"/>
        </w:rPr>
        <w:t>本项目参与单位如下：</w:t>
      </w:r>
    </w:p>
    <w:p>
      <w:pPr>
        <w:pStyle w:val="13"/>
        <w:spacing w:line="440" w:lineRule="exact"/>
        <w:ind w:left="0" w:leftChars="0" w:right="0" w:rightChars="0" w:firstLine="482" w:firstLineChars="200"/>
        <w:rPr>
          <w:rFonts w:ascii="Times New Roman"/>
          <w:b/>
        </w:rPr>
      </w:pPr>
      <w:r>
        <w:rPr>
          <w:rFonts w:ascii="Times New Roman"/>
          <w:b/>
        </w:rPr>
        <w:t>业主单位(地块责任人)：</w:t>
      </w:r>
      <w:r>
        <w:rPr>
          <w:rFonts w:hint="eastAsia" w:ascii="Times New Roman"/>
        </w:rPr>
        <w:t>金华市金婺资源开发集团有限公司</w:t>
      </w:r>
    </w:p>
    <w:p>
      <w:pPr>
        <w:pStyle w:val="13"/>
        <w:spacing w:line="440" w:lineRule="exact"/>
        <w:ind w:left="0" w:leftChars="0" w:right="0" w:rightChars="0" w:firstLine="482" w:firstLineChars="200"/>
        <w:rPr>
          <w:rFonts w:ascii="Times New Roman"/>
        </w:rPr>
      </w:pPr>
      <w:r>
        <w:rPr>
          <w:rFonts w:ascii="Times New Roman"/>
          <w:b/>
        </w:rPr>
        <w:t>土壤污染状况调查单位：</w:t>
      </w:r>
      <w:r>
        <w:rPr>
          <w:rFonts w:ascii="Times New Roman"/>
        </w:rPr>
        <w:t>浙江环耀环境建设有限公司</w:t>
      </w:r>
    </w:p>
    <w:p>
      <w:pPr>
        <w:pStyle w:val="3"/>
        <w:spacing w:before="0" w:after="0" w:line="440" w:lineRule="exact"/>
        <w:jc w:val="left"/>
        <w:rPr>
          <w:rFonts w:ascii="Times New Roman" w:hAnsi="Times New Roman"/>
          <w:bCs w:val="0"/>
          <w:kern w:val="2"/>
          <w:sz w:val="32"/>
          <w:szCs w:val="32"/>
        </w:rPr>
        <w:sectPr>
          <w:headerReference r:id="rId6" w:type="default"/>
          <w:footerReference r:id="rId7" w:type="default"/>
          <w:pgSz w:w="11906" w:h="16838"/>
          <w:pgMar w:top="1418" w:right="1418" w:bottom="1418" w:left="1418" w:header="850" w:footer="850" w:gutter="0"/>
          <w:pgNumType w:fmt="numberInDash" w:start="1"/>
          <w:cols w:space="720" w:num="1"/>
          <w:docGrid w:type="lines" w:linePitch="312" w:charSpace="0"/>
        </w:sectPr>
      </w:pPr>
      <w:bookmarkStart w:id="3" w:name="_Toc476346535"/>
    </w:p>
    <w:p>
      <w:pPr>
        <w:pStyle w:val="3"/>
        <w:spacing w:before="0" w:after="0" w:line="440" w:lineRule="exact"/>
        <w:rPr>
          <w:rFonts w:ascii="Times New Roman" w:hAnsi="Times New Roman"/>
        </w:rPr>
      </w:pPr>
      <w:bookmarkStart w:id="4" w:name="_Toc149641953"/>
      <w:r>
        <w:rPr>
          <w:rFonts w:ascii="Times New Roman" w:hAnsi="Times New Roman"/>
          <w:bCs w:val="0"/>
          <w:kern w:val="2"/>
          <w:sz w:val="32"/>
          <w:szCs w:val="32"/>
        </w:rPr>
        <w:t>2 概述</w:t>
      </w:r>
      <w:bookmarkEnd w:id="3"/>
      <w:bookmarkEnd w:id="4"/>
    </w:p>
    <w:p>
      <w:pPr>
        <w:pStyle w:val="116"/>
        <w:rPr>
          <w:rFonts w:ascii="Times New Roman" w:hAnsi="Times New Roman" w:eastAsia="宋体"/>
          <w:szCs w:val="28"/>
        </w:rPr>
      </w:pPr>
      <w:bookmarkStart w:id="5" w:name="_Toc476346536"/>
      <w:bookmarkStart w:id="6" w:name="_Toc149641954"/>
      <w:r>
        <w:rPr>
          <w:rFonts w:ascii="Times New Roman" w:hAnsi="Times New Roman" w:eastAsia="宋体"/>
          <w:szCs w:val="28"/>
        </w:rPr>
        <w:t>2.1 调查目的</w:t>
      </w:r>
      <w:bookmarkEnd w:id="5"/>
      <w:r>
        <w:rPr>
          <w:rFonts w:ascii="Times New Roman" w:hAnsi="Times New Roman" w:eastAsia="宋体"/>
          <w:szCs w:val="28"/>
        </w:rPr>
        <w:t>和原则</w:t>
      </w:r>
      <w:bookmarkEnd w:id="6"/>
    </w:p>
    <w:p>
      <w:pPr>
        <w:pStyle w:val="116"/>
        <w:outlineLvl w:val="2"/>
        <w:rPr>
          <w:rFonts w:ascii="Times New Roman" w:hAnsi="Times New Roman" w:eastAsia="宋体"/>
          <w:sz w:val="24"/>
        </w:rPr>
      </w:pPr>
      <w:bookmarkStart w:id="7" w:name="_Toc149641955"/>
      <w:r>
        <w:rPr>
          <w:rFonts w:ascii="Times New Roman" w:hAnsi="Times New Roman" w:eastAsia="宋体"/>
          <w:sz w:val="24"/>
        </w:rPr>
        <w:t>2.1.1 调查目的</w:t>
      </w:r>
      <w:bookmarkEnd w:id="7"/>
    </w:p>
    <w:p>
      <w:pPr>
        <w:spacing w:line="440" w:lineRule="exact"/>
        <w:ind w:firstLine="480" w:firstLineChars="200"/>
        <w:rPr>
          <w:sz w:val="24"/>
          <w:szCs w:val="24"/>
        </w:rPr>
      </w:pPr>
      <w:r>
        <w:rPr>
          <w:sz w:val="24"/>
          <w:szCs w:val="24"/>
        </w:rPr>
        <w:t>通过对金华市婺城区婺城新区单元(ZX-15-01-19)地块用途变迁、土地使用情况实施初步调查，了解该地块历史情况，弄清地块环境现状，分析原址是否存在环境问题，确定该地块是否有受到污染的可能性，可否直接进行土地利用性质的转换，为地块后续利用提供技术资料。</w:t>
      </w:r>
    </w:p>
    <w:p>
      <w:pPr>
        <w:pStyle w:val="116"/>
        <w:outlineLvl w:val="2"/>
        <w:rPr>
          <w:rFonts w:ascii="Times New Roman" w:hAnsi="Times New Roman" w:eastAsia="宋体"/>
          <w:sz w:val="24"/>
        </w:rPr>
      </w:pPr>
      <w:bookmarkStart w:id="8" w:name="_Toc149641956"/>
      <w:r>
        <w:rPr>
          <w:rFonts w:ascii="Times New Roman" w:hAnsi="Times New Roman" w:eastAsia="宋体"/>
          <w:sz w:val="24"/>
        </w:rPr>
        <w:t>2.1.2 调查原则</w:t>
      </w:r>
      <w:bookmarkEnd w:id="8"/>
    </w:p>
    <w:p>
      <w:pPr>
        <w:spacing w:line="440" w:lineRule="exact"/>
        <w:ind w:firstLine="480" w:firstLineChars="200"/>
        <w:rPr>
          <w:sz w:val="24"/>
          <w:szCs w:val="24"/>
        </w:rPr>
      </w:pPr>
      <w:r>
        <w:rPr>
          <w:sz w:val="24"/>
          <w:szCs w:val="24"/>
        </w:rPr>
        <w:t>本调查遵循《建设用地土壤污染状况调查技术导则》(HJ25.1-2019)中的基本原则，即：</w:t>
      </w:r>
    </w:p>
    <w:p>
      <w:pPr>
        <w:spacing w:line="440" w:lineRule="exact"/>
        <w:ind w:firstLine="480" w:firstLineChars="200"/>
        <w:rPr>
          <w:sz w:val="24"/>
          <w:szCs w:val="24"/>
        </w:rPr>
      </w:pPr>
      <w:r>
        <w:rPr>
          <w:sz w:val="24"/>
          <w:szCs w:val="24"/>
        </w:rPr>
        <w:t>1、针对性原则，即针对地块的特征和潜在污染物特性，进行污染物浓度和空间分布调查，为地块的环境管理提供依据。</w:t>
      </w:r>
    </w:p>
    <w:p>
      <w:pPr>
        <w:spacing w:line="440" w:lineRule="exact"/>
        <w:ind w:firstLine="480" w:firstLineChars="200"/>
        <w:rPr>
          <w:sz w:val="24"/>
          <w:szCs w:val="24"/>
        </w:rPr>
      </w:pPr>
      <w:r>
        <w:rPr>
          <w:sz w:val="24"/>
          <w:szCs w:val="24"/>
        </w:rPr>
        <w:t>2、规范性原则，即采用程序化和系统化的方式规划土壤污染状况调查过程，保证调查过程的科学性和客观性。</w:t>
      </w:r>
    </w:p>
    <w:p>
      <w:pPr>
        <w:spacing w:line="440" w:lineRule="exact"/>
        <w:ind w:firstLine="480" w:firstLineChars="200"/>
        <w:rPr>
          <w:sz w:val="24"/>
          <w:szCs w:val="24"/>
        </w:rPr>
      </w:pPr>
      <w:r>
        <w:rPr>
          <w:sz w:val="24"/>
          <w:szCs w:val="24"/>
        </w:rPr>
        <w:t>3、可操作性原则，即综合考虑调查方法、时间和经费等因素，结合当前科技发展和专业技术水平，使调查过程切实可行。</w:t>
      </w:r>
    </w:p>
    <w:p>
      <w:pPr>
        <w:pStyle w:val="116"/>
        <w:rPr>
          <w:rFonts w:ascii="Times New Roman" w:hAnsi="Times New Roman" w:eastAsia="宋体"/>
          <w:szCs w:val="28"/>
        </w:rPr>
      </w:pPr>
      <w:bookmarkStart w:id="9" w:name="_Toc149641957"/>
      <w:r>
        <w:rPr>
          <w:rFonts w:ascii="Times New Roman" w:hAnsi="Times New Roman" w:eastAsia="宋体"/>
          <w:szCs w:val="28"/>
        </w:rPr>
        <w:t>2.2 调查程序</w:t>
      </w:r>
      <w:bookmarkEnd w:id="9"/>
    </w:p>
    <w:p>
      <w:pPr>
        <w:spacing w:line="440" w:lineRule="exact"/>
        <w:ind w:firstLine="480" w:firstLineChars="200"/>
        <w:rPr>
          <w:sz w:val="24"/>
          <w:szCs w:val="24"/>
        </w:rPr>
      </w:pPr>
      <w:r>
        <w:rPr>
          <w:sz w:val="24"/>
          <w:szCs w:val="24"/>
        </w:rPr>
        <w:t>根据《建设用地土壤污染状况调查技术导则》(HJ25.1-2019)，土壤污染状况调查一般可分为三个阶段，本次调查的工作内容为土壤污染状况调查的第一阶段。</w:t>
      </w:r>
    </w:p>
    <w:p>
      <w:pPr>
        <w:spacing w:line="440" w:lineRule="exact"/>
        <w:ind w:firstLine="480" w:firstLineChars="200"/>
        <w:rPr>
          <w:sz w:val="24"/>
          <w:szCs w:val="24"/>
        </w:rPr>
      </w:pPr>
      <w:r>
        <w:rPr>
          <w:sz w:val="24"/>
          <w:szCs w:val="24"/>
        </w:rPr>
        <w:t>第一阶段土壤污染状况调查是以资料收集、现场踏勘和人员访谈为主的污染识别阶段，原则上不进行现场采样分析。若第一阶段调查确认地块内及周围区域当前和历史上均无可能的污染源，则认为地块的环境状况可以接受，调查活动可以结束。</w:t>
      </w:r>
    </w:p>
    <w:p>
      <w:pPr>
        <w:spacing w:line="440" w:lineRule="exact"/>
        <w:ind w:firstLine="480" w:firstLineChars="200"/>
        <w:rPr>
          <w:sz w:val="24"/>
          <w:szCs w:val="24"/>
        </w:rPr>
      </w:pPr>
      <w:r>
        <w:rPr>
          <w:sz w:val="24"/>
          <w:szCs w:val="24"/>
        </w:rPr>
        <w:t>本次调查的工作程序如图2.2-1所示：</w:t>
      </w:r>
    </w:p>
    <w:p>
      <w:pPr>
        <w:spacing w:line="360" w:lineRule="auto"/>
        <w:jc w:val="center"/>
        <w:rPr>
          <w:sz w:val="24"/>
        </w:rPr>
      </w:pPr>
      <w:r>
        <mc:AlternateContent>
          <mc:Choice Requires="wps">
            <w:drawing>
              <wp:anchor distT="0" distB="0" distL="114300" distR="114300" simplePos="0" relativeHeight="251660288" behindDoc="0" locked="0" layoutInCell="1" allowOverlap="1">
                <wp:simplePos x="0" y="0"/>
                <wp:positionH relativeFrom="column">
                  <wp:posOffset>11430</wp:posOffset>
                </wp:positionH>
                <wp:positionV relativeFrom="paragraph">
                  <wp:posOffset>6348095</wp:posOffset>
                </wp:positionV>
                <wp:extent cx="5712460" cy="886460"/>
                <wp:effectExtent l="16510" t="9525" r="14605" b="18415"/>
                <wp:wrapNone/>
                <wp:docPr id="126" name="Text Box 1076"/>
                <wp:cNvGraphicFramePr/>
                <a:graphic xmlns:a="http://schemas.openxmlformats.org/drawingml/2006/main">
                  <a:graphicData uri="http://schemas.microsoft.com/office/word/2010/wordprocessingShape">
                    <wps:wsp>
                      <wps:cNvSpPr txBox="1">
                        <a:spLocks noChangeArrowheads="1"/>
                      </wps:cNvSpPr>
                      <wps:spPr bwMode="auto">
                        <a:xfrm>
                          <a:off x="0" y="0"/>
                          <a:ext cx="5712460" cy="886460"/>
                        </a:xfrm>
                        <a:prstGeom prst="rect">
                          <a:avLst/>
                        </a:prstGeom>
                        <a:noFill/>
                        <a:ln w="19050">
                          <a:solidFill>
                            <a:srgbClr val="000000"/>
                          </a:solidFill>
                          <a:prstDash val="dashDot"/>
                          <a:miter lim="800000"/>
                        </a:ln>
                      </wps:spPr>
                      <wps:txbx>
                        <w:txbxContent>
                          <w:p/>
                        </w:txbxContent>
                      </wps:txbx>
                      <wps:bodyPr rot="0" vert="horz" wrap="square" lIns="91440" tIns="45720" rIns="91440" bIns="45720" anchor="t" anchorCtr="0" upright="1">
                        <a:noAutofit/>
                      </wps:bodyPr>
                    </wps:wsp>
                  </a:graphicData>
                </a:graphic>
              </wp:anchor>
            </w:drawing>
          </mc:Choice>
          <mc:Fallback>
            <w:pict>
              <v:shape id="Text Box 1076" o:spid="_x0000_s1026" o:spt="202" type="#_x0000_t202" style="position:absolute;left:0pt;margin-left:0.9pt;margin-top:499.85pt;height:69.8pt;width:449.8pt;z-index:251660288;mso-width-relative:page;mso-height-relative:page;" filled="f" stroked="t" coordsize="21600,21600" o:gfxdata="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Qa/Oe2QAAAAoBAAAPAAAAAAAAAAEAIAAAACIAAABkcnMv&#10;ZG93bnJldi54bWxQSwECFAAUAAAACACHTuJAFasCPTsCAAB+BAAADgAAAAAAAAABACAAAAAoAQAA&#10;ZHJzL2Uyb0RvYy54bWxQSwUGAAAAAAYABgBZAQAA1QUAAAAA&#10;">
                <v:fill on="f" focussize="0,0"/>
                <v:stroke weight="1.5pt" color="#000000" miterlimit="8" joinstyle="miter" dashstyle="dashDot"/>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59264" behindDoc="0" locked="0" layoutInCell="1" allowOverlap="1">
                <wp:simplePos x="0" y="0"/>
                <wp:positionH relativeFrom="column">
                  <wp:posOffset>11430</wp:posOffset>
                </wp:positionH>
                <wp:positionV relativeFrom="paragraph">
                  <wp:posOffset>13970</wp:posOffset>
                </wp:positionV>
                <wp:extent cx="5712460" cy="1968500"/>
                <wp:effectExtent l="16510" t="9525" r="14605" b="12700"/>
                <wp:wrapNone/>
                <wp:docPr id="125" name="Text Box 1076"/>
                <wp:cNvGraphicFramePr/>
                <a:graphic xmlns:a="http://schemas.openxmlformats.org/drawingml/2006/main">
                  <a:graphicData uri="http://schemas.microsoft.com/office/word/2010/wordprocessingShape">
                    <wps:wsp>
                      <wps:cNvSpPr txBox="1">
                        <a:spLocks noChangeArrowheads="1"/>
                      </wps:cNvSpPr>
                      <wps:spPr bwMode="auto">
                        <a:xfrm>
                          <a:off x="0" y="0"/>
                          <a:ext cx="5712460" cy="1968500"/>
                        </a:xfrm>
                        <a:prstGeom prst="rect">
                          <a:avLst/>
                        </a:prstGeom>
                        <a:noFill/>
                        <a:ln w="19050">
                          <a:solidFill>
                            <a:srgbClr val="000000"/>
                          </a:solidFill>
                          <a:prstDash val="dashDot"/>
                          <a:miter lim="800000"/>
                        </a:ln>
                      </wps:spPr>
                      <wps:txbx>
                        <w:txbxContent>
                          <w:p/>
                        </w:txbxContent>
                      </wps:txbx>
                      <wps:bodyPr rot="0" vert="horz" wrap="square" lIns="91440" tIns="45720" rIns="91440" bIns="45720" anchor="t" anchorCtr="0" upright="1">
                        <a:noAutofit/>
                      </wps:bodyPr>
                    </wps:wsp>
                  </a:graphicData>
                </a:graphic>
              </wp:anchor>
            </w:drawing>
          </mc:Choice>
          <mc:Fallback>
            <w:pict>
              <v:shape id="Text Box 1076" o:spid="_x0000_s1026" o:spt="202" type="#_x0000_t202" style="position:absolute;left:0pt;margin-left:0.9pt;margin-top:1.1pt;height:155pt;width:449.8pt;z-index:251659264;mso-width-relative:page;mso-height-relative:page;" filled="f" stroked="t" coordsize="21600,21600" o:gfxdata="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IinBxNQAAAAHAQAADwAAAAAAAAABACAAAAAiAAAAZHJzL2Rv&#10;d25yZXYueG1sUEsBAhQAFAAAAAgAh07iQCoGYWo+AgAAfwQAAA4AAAAAAAAAAQAgAAAAIwEAAGRy&#10;cy9lMm9Eb2MueG1sUEsFBgAAAAAGAAYAWQEAANMFAAAAAA==&#10;">
                <v:fill on="f" focussize="0,0"/>
                <v:stroke weight="1.5pt" color="#000000" miterlimit="8" joinstyle="miter" dashstyle="dashDot"/>
                <v:imagedata o:title=""/>
                <o:lock v:ext="edit" aspectratio="f"/>
                <v:textbox>
                  <w:txbxContent>
                    <w:p/>
                  </w:txbxContent>
                </v:textbox>
              </v:shape>
            </w:pict>
          </mc:Fallback>
        </mc:AlternateContent>
      </w:r>
      <w:r>
        <w:rPr>
          <w:sz w:val="24"/>
        </w:rPr>
        <w:drawing>
          <wp:inline distT="0" distB="0" distL="0" distR="0">
            <wp:extent cx="5762625" cy="7228840"/>
            <wp:effectExtent l="0" t="0" r="9525" b="10160"/>
            <wp:docPr id="1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0"/>
                    <pic:cNvPicPr>
                      <a:picLocks noChangeAspect="1" noChangeArrowheads="1"/>
                    </pic:cNvPicPr>
                  </pic:nvPicPr>
                  <pic:blipFill>
                    <a:blip r:embed="rId13"/>
                    <a:srcRect/>
                    <a:stretch>
                      <a:fillRect/>
                    </a:stretch>
                  </pic:blipFill>
                  <pic:spPr>
                    <a:xfrm>
                      <a:off x="0" y="0"/>
                      <a:ext cx="5762625" cy="7228840"/>
                    </a:xfrm>
                    <a:prstGeom prst="rect">
                      <a:avLst/>
                    </a:prstGeom>
                    <a:noFill/>
                    <a:ln>
                      <a:noFill/>
                    </a:ln>
                  </pic:spPr>
                </pic:pic>
              </a:graphicData>
            </a:graphic>
          </wp:inline>
        </w:drawing>
      </w:r>
    </w:p>
    <w:p>
      <w:pPr>
        <w:spacing w:line="360" w:lineRule="auto"/>
        <w:jc w:val="center"/>
        <w:rPr>
          <w:b/>
          <w:sz w:val="24"/>
          <w:szCs w:val="24"/>
        </w:rPr>
      </w:pPr>
      <w:r>
        <w:rPr>
          <w:b/>
          <w:sz w:val="24"/>
          <w:szCs w:val="24"/>
        </w:rPr>
        <w:t>图2.2-1  土壤污染状况调查的工作内容与程序图</w:t>
      </w:r>
    </w:p>
    <w:p>
      <w:pPr>
        <w:pStyle w:val="116"/>
        <w:rPr>
          <w:rFonts w:ascii="Times New Roman" w:hAnsi="Times New Roman" w:eastAsia="宋体"/>
          <w:szCs w:val="28"/>
        </w:rPr>
      </w:pPr>
      <w:bookmarkStart w:id="10" w:name="_Toc476346537"/>
      <w:bookmarkStart w:id="11" w:name="_Toc149641958"/>
      <w:r>
        <w:rPr>
          <w:rFonts w:ascii="Times New Roman" w:hAnsi="Times New Roman" w:eastAsia="宋体"/>
          <w:szCs w:val="28"/>
        </w:rPr>
        <w:t>2.3 调查范围</w:t>
      </w:r>
      <w:bookmarkEnd w:id="10"/>
      <w:bookmarkEnd w:id="11"/>
    </w:p>
    <w:p>
      <w:pPr>
        <w:spacing w:line="440" w:lineRule="exact"/>
        <w:ind w:firstLine="480" w:firstLineChars="200"/>
        <w:rPr>
          <w:sz w:val="24"/>
          <w:szCs w:val="24"/>
        </w:rPr>
      </w:pPr>
      <w:r>
        <w:rPr>
          <w:sz w:val="24"/>
          <w:szCs w:val="24"/>
        </w:rPr>
        <w:t>金华市婺城区婺城新区单元(ZX-15-01-19)地块位于东堰街以东、东俞路以南、金江南街以西、横三路以北，总占地面积约63950.01m</w:t>
      </w:r>
      <w:r>
        <w:rPr>
          <w:sz w:val="24"/>
          <w:szCs w:val="24"/>
          <w:vertAlign w:val="superscript"/>
        </w:rPr>
        <w:t>2</w:t>
      </w:r>
      <w:r>
        <w:rPr>
          <w:sz w:val="24"/>
          <w:szCs w:val="24"/>
        </w:rPr>
        <w:t>，本地块调查红线范围及拐点坐标见图2.3-1和表2.3-1。</w:t>
      </w:r>
    </w:p>
    <w:p>
      <w:pPr>
        <w:spacing w:line="360" w:lineRule="auto"/>
        <w:jc w:val="center"/>
        <w:rPr>
          <w:b/>
          <w:sz w:val="24"/>
          <w:szCs w:val="24"/>
        </w:rPr>
      </w:pPr>
      <w:r>
        <w:rPr>
          <w:b/>
          <w:sz w:val="24"/>
          <w:szCs w:val="24"/>
        </w:rPr>
        <w:drawing>
          <wp:inline distT="0" distB="0" distL="0" distR="0">
            <wp:extent cx="5067300" cy="7061200"/>
            <wp:effectExtent l="0" t="0" r="0" b="635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noChangeArrowheads="1"/>
                    </pic:cNvPicPr>
                  </pic:nvPicPr>
                  <pic:blipFill>
                    <a:blip r:embed="rId14"/>
                    <a:srcRect/>
                    <a:stretch>
                      <a:fillRect/>
                    </a:stretch>
                  </pic:blipFill>
                  <pic:spPr>
                    <a:xfrm>
                      <a:off x="0" y="0"/>
                      <a:ext cx="5067300" cy="7061200"/>
                    </a:xfrm>
                    <a:prstGeom prst="rect">
                      <a:avLst/>
                    </a:prstGeom>
                    <a:noFill/>
                    <a:ln>
                      <a:noFill/>
                    </a:ln>
                  </pic:spPr>
                </pic:pic>
              </a:graphicData>
            </a:graphic>
          </wp:inline>
        </w:drawing>
      </w:r>
    </w:p>
    <w:p>
      <w:pPr>
        <w:spacing w:line="360" w:lineRule="auto"/>
        <w:jc w:val="center"/>
        <w:rPr>
          <w:b/>
          <w:sz w:val="24"/>
          <w:szCs w:val="24"/>
        </w:rPr>
      </w:pPr>
      <w:r>
        <w:rPr>
          <w:b/>
          <w:sz w:val="24"/>
          <w:szCs w:val="24"/>
        </w:rPr>
        <w:t>图2.3-1  调查范围红线图</w:t>
      </w:r>
    </w:p>
    <w:p>
      <w:pPr>
        <w:spacing w:line="360" w:lineRule="auto"/>
        <w:jc w:val="center"/>
        <w:rPr>
          <w:b/>
          <w:sz w:val="24"/>
          <w:szCs w:val="24"/>
        </w:rPr>
      </w:pPr>
      <w:r>
        <w:rPr>
          <w:b/>
          <w:sz w:val="24"/>
          <w:szCs w:val="24"/>
        </w:rPr>
        <w:t>表2.3-1  拐点坐标一览表</w:t>
      </w:r>
    </w:p>
    <w:tbl>
      <w:tblPr>
        <w:tblStyle w:val="37"/>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33"/>
        <w:gridCol w:w="2071"/>
        <w:gridCol w:w="2236"/>
        <w:gridCol w:w="1905"/>
        <w:gridCol w:w="17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718" w:type="pct"/>
            <w:vMerge w:val="restart"/>
            <w:vAlign w:val="center"/>
          </w:tcPr>
          <w:p>
            <w:pPr>
              <w:adjustRightInd w:val="0"/>
              <w:snapToGrid w:val="0"/>
              <w:jc w:val="center"/>
              <w:rPr>
                <w:b/>
                <w:bCs/>
                <w:sz w:val="21"/>
                <w:szCs w:val="21"/>
              </w:rPr>
            </w:pPr>
            <w:bookmarkStart w:id="12" w:name="_Toc476346538"/>
            <w:r>
              <w:rPr>
                <w:b/>
                <w:bCs/>
                <w:sz w:val="21"/>
                <w:szCs w:val="21"/>
              </w:rPr>
              <w:t>拐点号</w:t>
            </w:r>
          </w:p>
        </w:tc>
        <w:tc>
          <w:tcPr>
            <w:tcW w:w="2319" w:type="pct"/>
            <w:gridSpan w:val="2"/>
            <w:vAlign w:val="center"/>
          </w:tcPr>
          <w:p>
            <w:pPr>
              <w:adjustRightInd w:val="0"/>
              <w:snapToGrid w:val="0"/>
              <w:jc w:val="center"/>
              <w:rPr>
                <w:b/>
                <w:bCs/>
                <w:sz w:val="21"/>
                <w:szCs w:val="21"/>
              </w:rPr>
            </w:pPr>
            <w:r>
              <w:rPr>
                <w:b/>
                <w:bCs/>
                <w:sz w:val="21"/>
                <w:szCs w:val="21"/>
              </w:rPr>
              <w:t>大地2000坐标(m)</w:t>
            </w:r>
          </w:p>
        </w:tc>
        <w:tc>
          <w:tcPr>
            <w:tcW w:w="1964" w:type="pct"/>
            <w:gridSpan w:val="2"/>
            <w:vAlign w:val="center"/>
          </w:tcPr>
          <w:p>
            <w:pPr>
              <w:adjustRightInd w:val="0"/>
              <w:snapToGrid w:val="0"/>
              <w:jc w:val="center"/>
              <w:rPr>
                <w:b/>
                <w:bCs/>
                <w:sz w:val="21"/>
                <w:szCs w:val="21"/>
              </w:rPr>
            </w:pPr>
            <w:r>
              <w:rPr>
                <w:b/>
                <w:bCs/>
                <w:sz w:val="21"/>
                <w:szCs w:val="21"/>
              </w:rPr>
              <w:t>经纬度坐标(°)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718" w:type="pct"/>
            <w:vMerge w:val="continue"/>
            <w:vAlign w:val="center"/>
          </w:tcPr>
          <w:p>
            <w:pPr>
              <w:adjustRightInd w:val="0"/>
              <w:snapToGrid w:val="0"/>
              <w:jc w:val="center"/>
              <w:rPr>
                <w:b/>
                <w:bCs/>
                <w:sz w:val="21"/>
                <w:szCs w:val="21"/>
              </w:rPr>
            </w:pPr>
          </w:p>
        </w:tc>
        <w:tc>
          <w:tcPr>
            <w:tcW w:w="1115" w:type="pct"/>
            <w:vAlign w:val="center"/>
          </w:tcPr>
          <w:p>
            <w:pPr>
              <w:adjustRightInd w:val="0"/>
              <w:snapToGrid w:val="0"/>
              <w:jc w:val="center"/>
              <w:rPr>
                <w:b/>
                <w:bCs/>
                <w:sz w:val="21"/>
                <w:szCs w:val="21"/>
              </w:rPr>
            </w:pPr>
            <w:r>
              <w:rPr>
                <w:b/>
                <w:bCs/>
                <w:sz w:val="21"/>
                <w:szCs w:val="21"/>
              </w:rPr>
              <w:t>X</w:t>
            </w:r>
          </w:p>
        </w:tc>
        <w:tc>
          <w:tcPr>
            <w:tcW w:w="1204" w:type="pct"/>
            <w:vAlign w:val="center"/>
          </w:tcPr>
          <w:p>
            <w:pPr>
              <w:adjustRightInd w:val="0"/>
              <w:snapToGrid w:val="0"/>
              <w:jc w:val="center"/>
              <w:rPr>
                <w:b/>
                <w:bCs/>
                <w:sz w:val="21"/>
                <w:szCs w:val="21"/>
              </w:rPr>
            </w:pPr>
            <w:r>
              <w:rPr>
                <w:b/>
                <w:bCs/>
                <w:sz w:val="21"/>
                <w:szCs w:val="21"/>
              </w:rPr>
              <w:t>Y</w:t>
            </w:r>
          </w:p>
        </w:tc>
        <w:tc>
          <w:tcPr>
            <w:tcW w:w="1026" w:type="pct"/>
            <w:vAlign w:val="center"/>
          </w:tcPr>
          <w:p>
            <w:pPr>
              <w:adjustRightInd w:val="0"/>
              <w:snapToGrid w:val="0"/>
              <w:jc w:val="center"/>
              <w:rPr>
                <w:b/>
                <w:bCs/>
                <w:sz w:val="21"/>
                <w:szCs w:val="21"/>
              </w:rPr>
            </w:pPr>
            <w:r>
              <w:rPr>
                <w:b/>
                <w:bCs/>
                <w:sz w:val="21"/>
                <w:szCs w:val="21"/>
              </w:rPr>
              <w:t>东经</w:t>
            </w:r>
          </w:p>
        </w:tc>
        <w:tc>
          <w:tcPr>
            <w:tcW w:w="937" w:type="pct"/>
            <w:vAlign w:val="center"/>
          </w:tcPr>
          <w:p>
            <w:pPr>
              <w:adjustRightInd w:val="0"/>
              <w:snapToGrid w:val="0"/>
              <w:jc w:val="center"/>
              <w:rPr>
                <w:b/>
                <w:bCs/>
                <w:sz w:val="21"/>
                <w:szCs w:val="21"/>
              </w:rPr>
            </w:pPr>
            <w:r>
              <w:rPr>
                <w:b/>
                <w:bCs/>
                <w:sz w:val="21"/>
                <w:szCs w:val="21"/>
              </w:rPr>
              <w:t>北纬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J1</w:t>
            </w:r>
          </w:p>
        </w:tc>
        <w:tc>
          <w:tcPr>
            <w:tcW w:w="1115" w:type="pct"/>
            <w:vAlign w:val="center"/>
          </w:tcPr>
          <w:p>
            <w:pPr>
              <w:adjustRightInd w:val="0"/>
              <w:snapToGrid w:val="0"/>
              <w:jc w:val="center"/>
              <w:rPr>
                <w:sz w:val="21"/>
                <w:szCs w:val="21"/>
              </w:rPr>
            </w:pPr>
            <w:r>
              <w:rPr>
                <w:sz w:val="21"/>
                <w:szCs w:val="21"/>
              </w:rPr>
              <w:t>3220811.647</w:t>
            </w:r>
          </w:p>
        </w:tc>
        <w:tc>
          <w:tcPr>
            <w:tcW w:w="1204" w:type="pct"/>
            <w:vAlign w:val="center"/>
          </w:tcPr>
          <w:p>
            <w:pPr>
              <w:adjustRightInd w:val="0"/>
              <w:snapToGrid w:val="0"/>
              <w:jc w:val="center"/>
              <w:rPr>
                <w:sz w:val="21"/>
                <w:szCs w:val="21"/>
              </w:rPr>
            </w:pPr>
            <w:r>
              <w:rPr>
                <w:sz w:val="21"/>
                <w:szCs w:val="21"/>
              </w:rPr>
              <w:t>40456790.737</w:t>
            </w:r>
          </w:p>
        </w:tc>
        <w:tc>
          <w:tcPr>
            <w:tcW w:w="1026" w:type="pct"/>
            <w:vAlign w:val="center"/>
          </w:tcPr>
          <w:p>
            <w:pPr>
              <w:adjustRightInd w:val="0"/>
              <w:snapToGrid w:val="0"/>
              <w:jc w:val="center"/>
              <w:rPr>
                <w:sz w:val="21"/>
                <w:szCs w:val="21"/>
              </w:rPr>
            </w:pPr>
            <w:r>
              <w:rPr>
                <w:rFonts w:eastAsia="等线"/>
                <w:sz w:val="21"/>
                <w:szCs w:val="21"/>
              </w:rPr>
              <w:t>119.556110</w:t>
            </w:r>
          </w:p>
        </w:tc>
        <w:tc>
          <w:tcPr>
            <w:tcW w:w="937" w:type="pct"/>
            <w:vAlign w:val="center"/>
          </w:tcPr>
          <w:p>
            <w:pPr>
              <w:adjustRightInd w:val="0"/>
              <w:snapToGrid w:val="0"/>
              <w:jc w:val="center"/>
              <w:rPr>
                <w:sz w:val="21"/>
                <w:szCs w:val="21"/>
              </w:rPr>
            </w:pPr>
            <w:r>
              <w:rPr>
                <w:rFonts w:eastAsia="等线"/>
                <w:sz w:val="21"/>
                <w:szCs w:val="21"/>
              </w:rPr>
              <w:t>29.103404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J2</w:t>
            </w:r>
          </w:p>
        </w:tc>
        <w:tc>
          <w:tcPr>
            <w:tcW w:w="1115" w:type="pct"/>
            <w:vAlign w:val="center"/>
          </w:tcPr>
          <w:p>
            <w:pPr>
              <w:adjustRightInd w:val="0"/>
              <w:snapToGrid w:val="0"/>
              <w:jc w:val="center"/>
              <w:rPr>
                <w:sz w:val="21"/>
                <w:szCs w:val="21"/>
              </w:rPr>
            </w:pPr>
            <w:r>
              <w:rPr>
                <w:sz w:val="21"/>
                <w:szCs w:val="21"/>
              </w:rPr>
              <w:t>3220817.858</w:t>
            </w:r>
          </w:p>
        </w:tc>
        <w:tc>
          <w:tcPr>
            <w:tcW w:w="1204" w:type="pct"/>
            <w:vAlign w:val="center"/>
          </w:tcPr>
          <w:p>
            <w:pPr>
              <w:adjustRightInd w:val="0"/>
              <w:snapToGrid w:val="0"/>
              <w:jc w:val="center"/>
              <w:rPr>
                <w:sz w:val="21"/>
                <w:szCs w:val="21"/>
              </w:rPr>
            </w:pPr>
            <w:r>
              <w:rPr>
                <w:sz w:val="21"/>
                <w:szCs w:val="21"/>
              </w:rPr>
              <w:t>40456804.964</w:t>
            </w:r>
          </w:p>
        </w:tc>
        <w:tc>
          <w:tcPr>
            <w:tcW w:w="1026" w:type="pct"/>
            <w:vAlign w:val="center"/>
          </w:tcPr>
          <w:p>
            <w:pPr>
              <w:adjustRightInd w:val="0"/>
              <w:snapToGrid w:val="0"/>
              <w:jc w:val="center"/>
              <w:rPr>
                <w:sz w:val="21"/>
                <w:szCs w:val="21"/>
              </w:rPr>
            </w:pPr>
            <w:r>
              <w:rPr>
                <w:rFonts w:eastAsia="等线"/>
                <w:sz w:val="21"/>
                <w:szCs w:val="21"/>
              </w:rPr>
              <w:t>119.556256</w:t>
            </w:r>
          </w:p>
        </w:tc>
        <w:tc>
          <w:tcPr>
            <w:tcW w:w="937" w:type="pct"/>
            <w:vAlign w:val="center"/>
          </w:tcPr>
          <w:p>
            <w:pPr>
              <w:adjustRightInd w:val="0"/>
              <w:snapToGrid w:val="0"/>
              <w:jc w:val="center"/>
              <w:rPr>
                <w:sz w:val="21"/>
                <w:szCs w:val="21"/>
              </w:rPr>
            </w:pPr>
            <w:r>
              <w:rPr>
                <w:rFonts w:eastAsia="等线"/>
                <w:sz w:val="21"/>
                <w:szCs w:val="21"/>
              </w:rPr>
              <w:t>29.103460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J3</w:t>
            </w:r>
          </w:p>
        </w:tc>
        <w:tc>
          <w:tcPr>
            <w:tcW w:w="1115" w:type="pct"/>
            <w:vAlign w:val="center"/>
          </w:tcPr>
          <w:p>
            <w:pPr>
              <w:adjustRightInd w:val="0"/>
              <w:snapToGrid w:val="0"/>
              <w:jc w:val="center"/>
              <w:rPr>
                <w:sz w:val="21"/>
                <w:szCs w:val="21"/>
              </w:rPr>
            </w:pPr>
            <w:r>
              <w:rPr>
                <w:sz w:val="21"/>
                <w:szCs w:val="21"/>
              </w:rPr>
              <w:t>3220703.525</w:t>
            </w:r>
          </w:p>
        </w:tc>
        <w:tc>
          <w:tcPr>
            <w:tcW w:w="1204" w:type="pct"/>
            <w:vAlign w:val="center"/>
          </w:tcPr>
          <w:p>
            <w:pPr>
              <w:adjustRightInd w:val="0"/>
              <w:snapToGrid w:val="0"/>
              <w:jc w:val="center"/>
              <w:rPr>
                <w:sz w:val="21"/>
                <w:szCs w:val="21"/>
              </w:rPr>
            </w:pPr>
            <w:r>
              <w:rPr>
                <w:sz w:val="21"/>
                <w:szCs w:val="21"/>
              </w:rPr>
              <w:t>40457026.238</w:t>
            </w:r>
          </w:p>
        </w:tc>
        <w:tc>
          <w:tcPr>
            <w:tcW w:w="1026" w:type="pct"/>
            <w:vAlign w:val="center"/>
          </w:tcPr>
          <w:p>
            <w:pPr>
              <w:adjustRightInd w:val="0"/>
              <w:snapToGrid w:val="0"/>
              <w:jc w:val="center"/>
              <w:rPr>
                <w:sz w:val="21"/>
                <w:szCs w:val="21"/>
              </w:rPr>
            </w:pPr>
            <w:r>
              <w:rPr>
                <w:rFonts w:eastAsia="等线"/>
                <w:sz w:val="21"/>
                <w:szCs w:val="21"/>
              </w:rPr>
              <w:t>119.558533</w:t>
            </w:r>
          </w:p>
        </w:tc>
        <w:tc>
          <w:tcPr>
            <w:tcW w:w="937" w:type="pct"/>
            <w:vAlign w:val="center"/>
          </w:tcPr>
          <w:p>
            <w:pPr>
              <w:adjustRightInd w:val="0"/>
              <w:snapToGrid w:val="0"/>
              <w:jc w:val="center"/>
              <w:rPr>
                <w:sz w:val="21"/>
                <w:szCs w:val="21"/>
              </w:rPr>
            </w:pPr>
            <w:r>
              <w:rPr>
                <w:rFonts w:eastAsia="等线"/>
                <w:sz w:val="21"/>
                <w:szCs w:val="21"/>
              </w:rPr>
              <w:t>29.102436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J4</w:t>
            </w:r>
          </w:p>
        </w:tc>
        <w:tc>
          <w:tcPr>
            <w:tcW w:w="1115" w:type="pct"/>
            <w:vAlign w:val="center"/>
          </w:tcPr>
          <w:p>
            <w:pPr>
              <w:adjustRightInd w:val="0"/>
              <w:snapToGrid w:val="0"/>
              <w:jc w:val="center"/>
              <w:rPr>
                <w:sz w:val="21"/>
                <w:szCs w:val="21"/>
              </w:rPr>
            </w:pPr>
            <w:r>
              <w:rPr>
                <w:sz w:val="21"/>
                <w:szCs w:val="21"/>
              </w:rPr>
              <w:t>3220699.987</w:t>
            </w:r>
          </w:p>
        </w:tc>
        <w:tc>
          <w:tcPr>
            <w:tcW w:w="1204" w:type="pct"/>
            <w:vAlign w:val="center"/>
          </w:tcPr>
          <w:p>
            <w:pPr>
              <w:adjustRightInd w:val="0"/>
              <w:snapToGrid w:val="0"/>
              <w:jc w:val="center"/>
              <w:rPr>
                <w:sz w:val="21"/>
                <w:szCs w:val="21"/>
              </w:rPr>
            </w:pPr>
            <w:r>
              <w:rPr>
                <w:sz w:val="21"/>
                <w:szCs w:val="21"/>
              </w:rPr>
              <w:t>40457027.705</w:t>
            </w:r>
          </w:p>
        </w:tc>
        <w:tc>
          <w:tcPr>
            <w:tcW w:w="1026" w:type="pct"/>
            <w:vAlign w:val="center"/>
          </w:tcPr>
          <w:p>
            <w:pPr>
              <w:adjustRightInd w:val="0"/>
              <w:snapToGrid w:val="0"/>
              <w:jc w:val="center"/>
              <w:rPr>
                <w:sz w:val="21"/>
                <w:szCs w:val="21"/>
              </w:rPr>
            </w:pPr>
            <w:r>
              <w:rPr>
                <w:rFonts w:eastAsia="等线"/>
                <w:sz w:val="21"/>
                <w:szCs w:val="21"/>
              </w:rPr>
              <w:t>119.558549</w:t>
            </w:r>
          </w:p>
        </w:tc>
        <w:tc>
          <w:tcPr>
            <w:tcW w:w="937" w:type="pct"/>
            <w:vAlign w:val="center"/>
          </w:tcPr>
          <w:p>
            <w:pPr>
              <w:adjustRightInd w:val="0"/>
              <w:snapToGrid w:val="0"/>
              <w:jc w:val="center"/>
              <w:rPr>
                <w:sz w:val="21"/>
                <w:szCs w:val="21"/>
              </w:rPr>
            </w:pPr>
            <w:r>
              <w:rPr>
                <w:rFonts w:eastAsia="等线"/>
                <w:sz w:val="21"/>
                <w:szCs w:val="21"/>
              </w:rPr>
              <w:t>29.102404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J5</w:t>
            </w:r>
          </w:p>
        </w:tc>
        <w:tc>
          <w:tcPr>
            <w:tcW w:w="1115" w:type="pct"/>
            <w:vAlign w:val="center"/>
          </w:tcPr>
          <w:p>
            <w:pPr>
              <w:adjustRightInd w:val="0"/>
              <w:snapToGrid w:val="0"/>
              <w:jc w:val="center"/>
              <w:rPr>
                <w:sz w:val="21"/>
                <w:szCs w:val="21"/>
              </w:rPr>
            </w:pPr>
            <w:r>
              <w:rPr>
                <w:sz w:val="21"/>
                <w:szCs w:val="21"/>
              </w:rPr>
              <w:t>3220476.968</w:t>
            </w:r>
          </w:p>
        </w:tc>
        <w:tc>
          <w:tcPr>
            <w:tcW w:w="1204" w:type="pct"/>
            <w:vAlign w:val="center"/>
          </w:tcPr>
          <w:p>
            <w:pPr>
              <w:adjustRightInd w:val="0"/>
              <w:snapToGrid w:val="0"/>
              <w:jc w:val="center"/>
              <w:rPr>
                <w:sz w:val="21"/>
                <w:szCs w:val="21"/>
              </w:rPr>
            </w:pPr>
            <w:r>
              <w:rPr>
                <w:sz w:val="21"/>
                <w:szCs w:val="21"/>
              </w:rPr>
              <w:t>40456956.917</w:t>
            </w:r>
          </w:p>
        </w:tc>
        <w:tc>
          <w:tcPr>
            <w:tcW w:w="1026" w:type="pct"/>
            <w:vAlign w:val="center"/>
          </w:tcPr>
          <w:p>
            <w:pPr>
              <w:adjustRightInd w:val="0"/>
              <w:snapToGrid w:val="0"/>
              <w:jc w:val="center"/>
              <w:rPr>
                <w:sz w:val="21"/>
                <w:szCs w:val="21"/>
              </w:rPr>
            </w:pPr>
            <w:r>
              <w:rPr>
                <w:rFonts w:eastAsia="等线"/>
                <w:sz w:val="21"/>
                <w:szCs w:val="21"/>
              </w:rPr>
              <w:t>119.557830</w:t>
            </w:r>
          </w:p>
        </w:tc>
        <w:tc>
          <w:tcPr>
            <w:tcW w:w="937" w:type="pct"/>
            <w:vAlign w:val="center"/>
          </w:tcPr>
          <w:p>
            <w:pPr>
              <w:adjustRightInd w:val="0"/>
              <w:snapToGrid w:val="0"/>
              <w:jc w:val="center"/>
              <w:rPr>
                <w:sz w:val="21"/>
                <w:szCs w:val="21"/>
              </w:rPr>
            </w:pPr>
            <w:r>
              <w:rPr>
                <w:rFonts w:eastAsia="等线"/>
                <w:sz w:val="21"/>
                <w:szCs w:val="21"/>
              </w:rPr>
              <w:t>29.100390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J6</w:t>
            </w:r>
          </w:p>
        </w:tc>
        <w:tc>
          <w:tcPr>
            <w:tcW w:w="1115" w:type="pct"/>
            <w:vAlign w:val="center"/>
          </w:tcPr>
          <w:p>
            <w:pPr>
              <w:adjustRightInd w:val="0"/>
              <w:snapToGrid w:val="0"/>
              <w:jc w:val="center"/>
              <w:rPr>
                <w:sz w:val="21"/>
                <w:szCs w:val="21"/>
              </w:rPr>
            </w:pPr>
            <w:r>
              <w:rPr>
                <w:sz w:val="21"/>
                <w:szCs w:val="21"/>
              </w:rPr>
              <w:t>3220473.229</w:t>
            </w:r>
          </w:p>
        </w:tc>
        <w:tc>
          <w:tcPr>
            <w:tcW w:w="1204" w:type="pct"/>
            <w:vAlign w:val="center"/>
          </w:tcPr>
          <w:p>
            <w:pPr>
              <w:adjustRightInd w:val="0"/>
              <w:snapToGrid w:val="0"/>
              <w:jc w:val="center"/>
              <w:rPr>
                <w:sz w:val="21"/>
                <w:szCs w:val="21"/>
              </w:rPr>
            </w:pPr>
            <w:r>
              <w:rPr>
                <w:sz w:val="21"/>
                <w:szCs w:val="21"/>
              </w:rPr>
              <w:t>40456948.204</w:t>
            </w:r>
          </w:p>
        </w:tc>
        <w:tc>
          <w:tcPr>
            <w:tcW w:w="1026" w:type="pct"/>
            <w:vAlign w:val="center"/>
          </w:tcPr>
          <w:p>
            <w:pPr>
              <w:adjustRightInd w:val="0"/>
              <w:snapToGrid w:val="0"/>
              <w:jc w:val="center"/>
              <w:rPr>
                <w:sz w:val="21"/>
                <w:szCs w:val="21"/>
              </w:rPr>
            </w:pPr>
            <w:r>
              <w:rPr>
                <w:rFonts w:eastAsia="等线"/>
                <w:sz w:val="21"/>
                <w:szCs w:val="21"/>
              </w:rPr>
              <w:t>119.557741</w:t>
            </w:r>
          </w:p>
        </w:tc>
        <w:tc>
          <w:tcPr>
            <w:tcW w:w="937" w:type="pct"/>
            <w:vAlign w:val="center"/>
          </w:tcPr>
          <w:p>
            <w:pPr>
              <w:adjustRightInd w:val="0"/>
              <w:snapToGrid w:val="0"/>
              <w:jc w:val="center"/>
              <w:rPr>
                <w:sz w:val="21"/>
                <w:szCs w:val="21"/>
              </w:rPr>
            </w:pPr>
            <w:r>
              <w:rPr>
                <w:rFonts w:eastAsia="等线"/>
                <w:sz w:val="21"/>
                <w:szCs w:val="21"/>
              </w:rPr>
              <w:t>29.100356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J7</w:t>
            </w:r>
          </w:p>
        </w:tc>
        <w:tc>
          <w:tcPr>
            <w:tcW w:w="1115" w:type="pct"/>
            <w:vAlign w:val="center"/>
          </w:tcPr>
          <w:p>
            <w:pPr>
              <w:adjustRightInd w:val="0"/>
              <w:snapToGrid w:val="0"/>
              <w:jc w:val="center"/>
              <w:rPr>
                <w:sz w:val="21"/>
                <w:szCs w:val="21"/>
              </w:rPr>
            </w:pPr>
            <w:r>
              <w:rPr>
                <w:sz w:val="21"/>
                <w:szCs w:val="21"/>
              </w:rPr>
              <w:t>3220583.211</w:t>
            </w:r>
          </w:p>
        </w:tc>
        <w:tc>
          <w:tcPr>
            <w:tcW w:w="1204" w:type="pct"/>
            <w:vAlign w:val="center"/>
          </w:tcPr>
          <w:p>
            <w:pPr>
              <w:adjustRightInd w:val="0"/>
              <w:snapToGrid w:val="0"/>
              <w:jc w:val="center"/>
              <w:rPr>
                <w:sz w:val="21"/>
                <w:szCs w:val="21"/>
              </w:rPr>
            </w:pPr>
            <w:r>
              <w:rPr>
                <w:sz w:val="21"/>
                <w:szCs w:val="21"/>
              </w:rPr>
              <w:t>40456722.143</w:t>
            </w:r>
          </w:p>
        </w:tc>
        <w:tc>
          <w:tcPr>
            <w:tcW w:w="1026" w:type="pct"/>
            <w:vAlign w:val="center"/>
          </w:tcPr>
          <w:p>
            <w:pPr>
              <w:adjustRightInd w:val="0"/>
              <w:snapToGrid w:val="0"/>
              <w:jc w:val="center"/>
              <w:rPr>
                <w:sz w:val="21"/>
                <w:szCs w:val="21"/>
              </w:rPr>
            </w:pPr>
            <w:r>
              <w:rPr>
                <w:rFonts w:eastAsia="等线"/>
                <w:sz w:val="21"/>
                <w:szCs w:val="21"/>
              </w:rPr>
              <w:t>119.555414</w:t>
            </w:r>
          </w:p>
        </w:tc>
        <w:tc>
          <w:tcPr>
            <w:tcW w:w="937" w:type="pct"/>
            <w:vAlign w:val="center"/>
          </w:tcPr>
          <w:p>
            <w:pPr>
              <w:adjustRightInd w:val="0"/>
              <w:snapToGrid w:val="0"/>
              <w:jc w:val="center"/>
              <w:rPr>
                <w:sz w:val="21"/>
                <w:szCs w:val="21"/>
              </w:rPr>
            </w:pPr>
            <w:r>
              <w:rPr>
                <w:rFonts w:eastAsia="等线"/>
                <w:sz w:val="21"/>
                <w:szCs w:val="21"/>
              </w:rPr>
              <w:t>29.101340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J8</w:t>
            </w:r>
          </w:p>
        </w:tc>
        <w:tc>
          <w:tcPr>
            <w:tcW w:w="1115" w:type="pct"/>
            <w:vAlign w:val="center"/>
          </w:tcPr>
          <w:p>
            <w:pPr>
              <w:adjustRightInd w:val="0"/>
              <w:snapToGrid w:val="0"/>
              <w:jc w:val="center"/>
              <w:rPr>
                <w:sz w:val="21"/>
                <w:szCs w:val="21"/>
              </w:rPr>
            </w:pPr>
            <w:r>
              <w:rPr>
                <w:sz w:val="21"/>
                <w:szCs w:val="21"/>
              </w:rPr>
              <w:t>3220599.125</w:t>
            </w:r>
          </w:p>
        </w:tc>
        <w:tc>
          <w:tcPr>
            <w:tcW w:w="1204" w:type="pct"/>
            <w:vAlign w:val="center"/>
          </w:tcPr>
          <w:p>
            <w:pPr>
              <w:adjustRightInd w:val="0"/>
              <w:snapToGrid w:val="0"/>
              <w:jc w:val="center"/>
              <w:rPr>
                <w:sz w:val="21"/>
                <w:szCs w:val="21"/>
              </w:rPr>
            </w:pPr>
            <w:r>
              <w:rPr>
                <w:sz w:val="21"/>
                <w:szCs w:val="21"/>
              </w:rPr>
              <w:t>40456716.542</w:t>
            </w:r>
          </w:p>
        </w:tc>
        <w:tc>
          <w:tcPr>
            <w:tcW w:w="1026" w:type="pct"/>
            <w:vAlign w:val="center"/>
          </w:tcPr>
          <w:p>
            <w:pPr>
              <w:adjustRightInd w:val="0"/>
              <w:snapToGrid w:val="0"/>
              <w:jc w:val="center"/>
              <w:rPr>
                <w:sz w:val="21"/>
                <w:szCs w:val="21"/>
              </w:rPr>
            </w:pPr>
            <w:r>
              <w:rPr>
                <w:rFonts w:eastAsia="等线"/>
                <w:sz w:val="21"/>
                <w:szCs w:val="21"/>
              </w:rPr>
              <w:t>119.555356</w:t>
            </w:r>
          </w:p>
        </w:tc>
        <w:tc>
          <w:tcPr>
            <w:tcW w:w="937" w:type="pct"/>
            <w:vAlign w:val="center"/>
          </w:tcPr>
          <w:p>
            <w:pPr>
              <w:adjustRightInd w:val="0"/>
              <w:snapToGrid w:val="0"/>
              <w:jc w:val="center"/>
              <w:rPr>
                <w:sz w:val="21"/>
                <w:szCs w:val="21"/>
              </w:rPr>
            </w:pPr>
            <w:r>
              <w:rPr>
                <w:rFonts w:eastAsia="等线"/>
                <w:sz w:val="21"/>
                <w:szCs w:val="21"/>
              </w:rPr>
              <w:t>29.101484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J9</w:t>
            </w:r>
          </w:p>
        </w:tc>
        <w:tc>
          <w:tcPr>
            <w:tcW w:w="1115" w:type="pct"/>
            <w:vAlign w:val="center"/>
          </w:tcPr>
          <w:p>
            <w:pPr>
              <w:adjustRightInd w:val="0"/>
              <w:snapToGrid w:val="0"/>
              <w:jc w:val="center"/>
              <w:rPr>
                <w:sz w:val="21"/>
                <w:szCs w:val="21"/>
              </w:rPr>
            </w:pPr>
            <w:r>
              <w:rPr>
                <w:sz w:val="21"/>
                <w:szCs w:val="21"/>
              </w:rPr>
              <w:t>3220601.687</w:t>
            </w:r>
          </w:p>
        </w:tc>
        <w:tc>
          <w:tcPr>
            <w:tcW w:w="1204" w:type="pct"/>
            <w:vAlign w:val="center"/>
          </w:tcPr>
          <w:p>
            <w:pPr>
              <w:adjustRightInd w:val="0"/>
              <w:snapToGrid w:val="0"/>
              <w:jc w:val="center"/>
              <w:rPr>
                <w:sz w:val="21"/>
                <w:szCs w:val="21"/>
              </w:rPr>
            </w:pPr>
            <w:r>
              <w:rPr>
                <w:sz w:val="21"/>
                <w:szCs w:val="21"/>
              </w:rPr>
              <w:t>40456717.747</w:t>
            </w:r>
          </w:p>
        </w:tc>
        <w:tc>
          <w:tcPr>
            <w:tcW w:w="1026" w:type="pct"/>
            <w:vAlign w:val="center"/>
          </w:tcPr>
          <w:p>
            <w:pPr>
              <w:adjustRightInd w:val="0"/>
              <w:snapToGrid w:val="0"/>
              <w:jc w:val="center"/>
              <w:rPr>
                <w:sz w:val="21"/>
                <w:szCs w:val="21"/>
              </w:rPr>
            </w:pPr>
            <w:r>
              <w:rPr>
                <w:rFonts w:eastAsia="等线"/>
                <w:sz w:val="21"/>
                <w:szCs w:val="21"/>
              </w:rPr>
              <w:t>119.555368</w:t>
            </w:r>
          </w:p>
        </w:tc>
        <w:tc>
          <w:tcPr>
            <w:tcW w:w="937" w:type="pct"/>
            <w:vAlign w:val="center"/>
          </w:tcPr>
          <w:p>
            <w:pPr>
              <w:adjustRightInd w:val="0"/>
              <w:snapToGrid w:val="0"/>
              <w:jc w:val="center"/>
              <w:rPr>
                <w:sz w:val="21"/>
                <w:szCs w:val="21"/>
              </w:rPr>
            </w:pPr>
            <w:r>
              <w:rPr>
                <w:rFonts w:eastAsia="等线"/>
                <w:sz w:val="21"/>
                <w:szCs w:val="21"/>
              </w:rPr>
              <w:t>29.101507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J10</w:t>
            </w:r>
          </w:p>
        </w:tc>
        <w:tc>
          <w:tcPr>
            <w:tcW w:w="1115" w:type="pct"/>
            <w:vAlign w:val="center"/>
          </w:tcPr>
          <w:p>
            <w:pPr>
              <w:adjustRightInd w:val="0"/>
              <w:snapToGrid w:val="0"/>
              <w:jc w:val="center"/>
              <w:rPr>
                <w:sz w:val="21"/>
                <w:szCs w:val="21"/>
              </w:rPr>
            </w:pPr>
            <w:r>
              <w:rPr>
                <w:sz w:val="21"/>
                <w:szCs w:val="21"/>
              </w:rPr>
              <w:t>3220604.253</w:t>
            </w:r>
          </w:p>
        </w:tc>
        <w:tc>
          <w:tcPr>
            <w:tcW w:w="1204" w:type="pct"/>
            <w:vAlign w:val="center"/>
          </w:tcPr>
          <w:p>
            <w:pPr>
              <w:adjustRightInd w:val="0"/>
              <w:snapToGrid w:val="0"/>
              <w:jc w:val="center"/>
              <w:rPr>
                <w:sz w:val="21"/>
                <w:szCs w:val="21"/>
              </w:rPr>
            </w:pPr>
            <w:r>
              <w:rPr>
                <w:sz w:val="21"/>
                <w:szCs w:val="21"/>
              </w:rPr>
              <w:t>40456718.945</w:t>
            </w:r>
          </w:p>
        </w:tc>
        <w:tc>
          <w:tcPr>
            <w:tcW w:w="1026" w:type="pct"/>
            <w:vAlign w:val="center"/>
          </w:tcPr>
          <w:p>
            <w:pPr>
              <w:adjustRightInd w:val="0"/>
              <w:snapToGrid w:val="0"/>
              <w:jc w:val="center"/>
              <w:rPr>
                <w:sz w:val="21"/>
                <w:szCs w:val="21"/>
              </w:rPr>
            </w:pPr>
            <w:r>
              <w:rPr>
                <w:rFonts w:eastAsia="等线"/>
                <w:sz w:val="21"/>
                <w:szCs w:val="21"/>
              </w:rPr>
              <w:t>119.555381</w:t>
            </w:r>
          </w:p>
        </w:tc>
        <w:tc>
          <w:tcPr>
            <w:tcW w:w="937" w:type="pct"/>
            <w:vAlign w:val="center"/>
          </w:tcPr>
          <w:p>
            <w:pPr>
              <w:adjustRightInd w:val="0"/>
              <w:snapToGrid w:val="0"/>
              <w:jc w:val="center"/>
              <w:rPr>
                <w:sz w:val="21"/>
                <w:szCs w:val="21"/>
              </w:rPr>
            </w:pPr>
            <w:r>
              <w:rPr>
                <w:rFonts w:eastAsia="等线"/>
                <w:sz w:val="21"/>
                <w:szCs w:val="21"/>
              </w:rPr>
              <w:t>29.101530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J11</w:t>
            </w:r>
          </w:p>
        </w:tc>
        <w:tc>
          <w:tcPr>
            <w:tcW w:w="1115" w:type="pct"/>
            <w:vAlign w:val="center"/>
          </w:tcPr>
          <w:p>
            <w:pPr>
              <w:adjustRightInd w:val="0"/>
              <w:snapToGrid w:val="0"/>
              <w:jc w:val="center"/>
              <w:rPr>
                <w:sz w:val="21"/>
                <w:szCs w:val="21"/>
              </w:rPr>
            </w:pPr>
            <w:r>
              <w:rPr>
                <w:sz w:val="21"/>
                <w:szCs w:val="21"/>
              </w:rPr>
              <w:t>3220606.822</w:t>
            </w:r>
          </w:p>
        </w:tc>
        <w:tc>
          <w:tcPr>
            <w:tcW w:w="1204" w:type="pct"/>
            <w:vAlign w:val="center"/>
          </w:tcPr>
          <w:p>
            <w:pPr>
              <w:adjustRightInd w:val="0"/>
              <w:snapToGrid w:val="0"/>
              <w:jc w:val="center"/>
              <w:rPr>
                <w:sz w:val="21"/>
                <w:szCs w:val="21"/>
              </w:rPr>
            </w:pPr>
            <w:r>
              <w:rPr>
                <w:sz w:val="21"/>
                <w:szCs w:val="21"/>
              </w:rPr>
              <w:t>40456720.136</w:t>
            </w:r>
          </w:p>
        </w:tc>
        <w:tc>
          <w:tcPr>
            <w:tcW w:w="1026" w:type="pct"/>
            <w:vAlign w:val="center"/>
          </w:tcPr>
          <w:p>
            <w:pPr>
              <w:adjustRightInd w:val="0"/>
              <w:snapToGrid w:val="0"/>
              <w:jc w:val="center"/>
              <w:rPr>
                <w:sz w:val="21"/>
                <w:szCs w:val="21"/>
              </w:rPr>
            </w:pPr>
            <w:r>
              <w:rPr>
                <w:rFonts w:eastAsia="等线"/>
                <w:sz w:val="21"/>
                <w:szCs w:val="21"/>
              </w:rPr>
              <w:t>119.555393</w:t>
            </w:r>
          </w:p>
        </w:tc>
        <w:tc>
          <w:tcPr>
            <w:tcW w:w="937" w:type="pct"/>
            <w:vAlign w:val="center"/>
          </w:tcPr>
          <w:p>
            <w:pPr>
              <w:adjustRightInd w:val="0"/>
              <w:snapToGrid w:val="0"/>
              <w:jc w:val="center"/>
              <w:rPr>
                <w:sz w:val="21"/>
                <w:szCs w:val="21"/>
              </w:rPr>
            </w:pPr>
            <w:r>
              <w:rPr>
                <w:rFonts w:eastAsia="等线"/>
                <w:sz w:val="21"/>
                <w:szCs w:val="21"/>
              </w:rPr>
              <w:t>29.101553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J12</w:t>
            </w:r>
          </w:p>
        </w:tc>
        <w:tc>
          <w:tcPr>
            <w:tcW w:w="1115" w:type="pct"/>
            <w:vAlign w:val="center"/>
          </w:tcPr>
          <w:p>
            <w:pPr>
              <w:adjustRightInd w:val="0"/>
              <w:snapToGrid w:val="0"/>
              <w:jc w:val="center"/>
              <w:rPr>
                <w:sz w:val="21"/>
                <w:szCs w:val="21"/>
              </w:rPr>
            </w:pPr>
            <w:r>
              <w:rPr>
                <w:sz w:val="21"/>
                <w:szCs w:val="21"/>
              </w:rPr>
              <w:t>3220609.395</w:t>
            </w:r>
          </w:p>
        </w:tc>
        <w:tc>
          <w:tcPr>
            <w:tcW w:w="1204" w:type="pct"/>
            <w:vAlign w:val="center"/>
          </w:tcPr>
          <w:p>
            <w:pPr>
              <w:adjustRightInd w:val="0"/>
              <w:snapToGrid w:val="0"/>
              <w:jc w:val="center"/>
              <w:rPr>
                <w:sz w:val="21"/>
                <w:szCs w:val="21"/>
              </w:rPr>
            </w:pPr>
            <w:r>
              <w:rPr>
                <w:sz w:val="21"/>
                <w:szCs w:val="21"/>
              </w:rPr>
              <w:t>40456721.320</w:t>
            </w:r>
          </w:p>
        </w:tc>
        <w:tc>
          <w:tcPr>
            <w:tcW w:w="1026" w:type="pct"/>
            <w:vAlign w:val="center"/>
          </w:tcPr>
          <w:p>
            <w:pPr>
              <w:adjustRightInd w:val="0"/>
              <w:snapToGrid w:val="0"/>
              <w:jc w:val="center"/>
              <w:rPr>
                <w:sz w:val="21"/>
                <w:szCs w:val="21"/>
              </w:rPr>
            </w:pPr>
            <w:r>
              <w:rPr>
                <w:rFonts w:eastAsia="等线"/>
                <w:sz w:val="21"/>
                <w:szCs w:val="21"/>
              </w:rPr>
              <w:t>119.555405</w:t>
            </w:r>
          </w:p>
        </w:tc>
        <w:tc>
          <w:tcPr>
            <w:tcW w:w="937" w:type="pct"/>
            <w:vAlign w:val="center"/>
          </w:tcPr>
          <w:p>
            <w:pPr>
              <w:adjustRightInd w:val="0"/>
              <w:snapToGrid w:val="0"/>
              <w:jc w:val="center"/>
              <w:rPr>
                <w:sz w:val="21"/>
                <w:szCs w:val="21"/>
              </w:rPr>
            </w:pPr>
            <w:r>
              <w:rPr>
                <w:rFonts w:eastAsia="等线"/>
                <w:sz w:val="21"/>
                <w:szCs w:val="21"/>
              </w:rPr>
              <w:t>29.101577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J13</w:t>
            </w:r>
          </w:p>
        </w:tc>
        <w:tc>
          <w:tcPr>
            <w:tcW w:w="1115" w:type="pct"/>
            <w:vAlign w:val="center"/>
          </w:tcPr>
          <w:p>
            <w:pPr>
              <w:adjustRightInd w:val="0"/>
              <w:snapToGrid w:val="0"/>
              <w:jc w:val="center"/>
              <w:rPr>
                <w:sz w:val="21"/>
                <w:szCs w:val="21"/>
              </w:rPr>
            </w:pPr>
            <w:r>
              <w:rPr>
                <w:sz w:val="21"/>
                <w:szCs w:val="21"/>
              </w:rPr>
              <w:t>3220611.971</w:t>
            </w:r>
          </w:p>
        </w:tc>
        <w:tc>
          <w:tcPr>
            <w:tcW w:w="1204" w:type="pct"/>
            <w:vAlign w:val="center"/>
          </w:tcPr>
          <w:p>
            <w:pPr>
              <w:adjustRightInd w:val="0"/>
              <w:snapToGrid w:val="0"/>
              <w:jc w:val="center"/>
              <w:rPr>
                <w:sz w:val="21"/>
                <w:szCs w:val="21"/>
              </w:rPr>
            </w:pPr>
            <w:r>
              <w:rPr>
                <w:sz w:val="21"/>
                <w:szCs w:val="21"/>
              </w:rPr>
              <w:t>40456722.497</w:t>
            </w:r>
          </w:p>
        </w:tc>
        <w:tc>
          <w:tcPr>
            <w:tcW w:w="1026" w:type="pct"/>
            <w:vAlign w:val="center"/>
          </w:tcPr>
          <w:p>
            <w:pPr>
              <w:adjustRightInd w:val="0"/>
              <w:snapToGrid w:val="0"/>
              <w:jc w:val="center"/>
              <w:rPr>
                <w:sz w:val="21"/>
                <w:szCs w:val="21"/>
              </w:rPr>
            </w:pPr>
            <w:r>
              <w:rPr>
                <w:rFonts w:eastAsia="等线"/>
                <w:sz w:val="21"/>
                <w:szCs w:val="21"/>
              </w:rPr>
              <w:t>119.555417</w:t>
            </w:r>
          </w:p>
        </w:tc>
        <w:tc>
          <w:tcPr>
            <w:tcW w:w="937" w:type="pct"/>
            <w:vAlign w:val="center"/>
          </w:tcPr>
          <w:p>
            <w:pPr>
              <w:adjustRightInd w:val="0"/>
              <w:snapToGrid w:val="0"/>
              <w:jc w:val="center"/>
              <w:rPr>
                <w:sz w:val="21"/>
                <w:szCs w:val="21"/>
              </w:rPr>
            </w:pPr>
            <w:r>
              <w:rPr>
                <w:rFonts w:eastAsia="等线"/>
                <w:sz w:val="21"/>
                <w:szCs w:val="21"/>
              </w:rPr>
              <w:t>29.101600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J14</w:t>
            </w:r>
          </w:p>
        </w:tc>
        <w:tc>
          <w:tcPr>
            <w:tcW w:w="1115" w:type="pct"/>
            <w:vAlign w:val="center"/>
          </w:tcPr>
          <w:p>
            <w:pPr>
              <w:adjustRightInd w:val="0"/>
              <w:snapToGrid w:val="0"/>
              <w:jc w:val="center"/>
              <w:rPr>
                <w:sz w:val="21"/>
                <w:szCs w:val="21"/>
              </w:rPr>
            </w:pPr>
            <w:r>
              <w:rPr>
                <w:sz w:val="21"/>
                <w:szCs w:val="21"/>
              </w:rPr>
              <w:t>3220614.550</w:t>
            </w:r>
          </w:p>
        </w:tc>
        <w:tc>
          <w:tcPr>
            <w:tcW w:w="1204" w:type="pct"/>
            <w:vAlign w:val="center"/>
          </w:tcPr>
          <w:p>
            <w:pPr>
              <w:adjustRightInd w:val="0"/>
              <w:snapToGrid w:val="0"/>
              <w:jc w:val="center"/>
              <w:rPr>
                <w:sz w:val="21"/>
                <w:szCs w:val="21"/>
              </w:rPr>
            </w:pPr>
            <w:r>
              <w:rPr>
                <w:sz w:val="21"/>
                <w:szCs w:val="21"/>
              </w:rPr>
              <w:t>40456723.666</w:t>
            </w:r>
          </w:p>
        </w:tc>
        <w:tc>
          <w:tcPr>
            <w:tcW w:w="1026" w:type="pct"/>
            <w:vAlign w:val="center"/>
          </w:tcPr>
          <w:p>
            <w:pPr>
              <w:adjustRightInd w:val="0"/>
              <w:snapToGrid w:val="0"/>
              <w:jc w:val="center"/>
              <w:rPr>
                <w:sz w:val="21"/>
                <w:szCs w:val="21"/>
              </w:rPr>
            </w:pPr>
            <w:r>
              <w:rPr>
                <w:rFonts w:eastAsia="等线"/>
                <w:sz w:val="21"/>
                <w:szCs w:val="21"/>
              </w:rPr>
              <w:t>119.555429</w:t>
            </w:r>
          </w:p>
        </w:tc>
        <w:tc>
          <w:tcPr>
            <w:tcW w:w="937" w:type="pct"/>
            <w:vAlign w:val="center"/>
          </w:tcPr>
          <w:p>
            <w:pPr>
              <w:adjustRightInd w:val="0"/>
              <w:snapToGrid w:val="0"/>
              <w:jc w:val="center"/>
              <w:rPr>
                <w:sz w:val="21"/>
                <w:szCs w:val="21"/>
              </w:rPr>
            </w:pPr>
            <w:r>
              <w:rPr>
                <w:rFonts w:eastAsia="等线"/>
                <w:sz w:val="21"/>
                <w:szCs w:val="21"/>
              </w:rPr>
              <w:t>29.101623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J15</w:t>
            </w:r>
          </w:p>
        </w:tc>
        <w:tc>
          <w:tcPr>
            <w:tcW w:w="1115" w:type="pct"/>
            <w:vAlign w:val="center"/>
          </w:tcPr>
          <w:p>
            <w:pPr>
              <w:adjustRightInd w:val="0"/>
              <w:snapToGrid w:val="0"/>
              <w:jc w:val="center"/>
              <w:rPr>
                <w:sz w:val="21"/>
                <w:szCs w:val="21"/>
              </w:rPr>
            </w:pPr>
            <w:r>
              <w:rPr>
                <w:sz w:val="21"/>
                <w:szCs w:val="21"/>
              </w:rPr>
              <w:t>3220617.132</w:t>
            </w:r>
          </w:p>
        </w:tc>
        <w:tc>
          <w:tcPr>
            <w:tcW w:w="1204" w:type="pct"/>
            <w:vAlign w:val="center"/>
          </w:tcPr>
          <w:p>
            <w:pPr>
              <w:adjustRightInd w:val="0"/>
              <w:snapToGrid w:val="0"/>
              <w:jc w:val="center"/>
              <w:rPr>
                <w:sz w:val="21"/>
                <w:szCs w:val="21"/>
              </w:rPr>
            </w:pPr>
            <w:r>
              <w:rPr>
                <w:sz w:val="21"/>
                <w:szCs w:val="21"/>
              </w:rPr>
              <w:t>40456724.829</w:t>
            </w:r>
          </w:p>
        </w:tc>
        <w:tc>
          <w:tcPr>
            <w:tcW w:w="1026" w:type="pct"/>
            <w:vAlign w:val="center"/>
          </w:tcPr>
          <w:p>
            <w:pPr>
              <w:adjustRightInd w:val="0"/>
              <w:snapToGrid w:val="0"/>
              <w:jc w:val="center"/>
              <w:rPr>
                <w:sz w:val="21"/>
                <w:szCs w:val="21"/>
              </w:rPr>
            </w:pPr>
            <w:r>
              <w:rPr>
                <w:rFonts w:eastAsia="等线"/>
                <w:sz w:val="21"/>
                <w:szCs w:val="21"/>
              </w:rPr>
              <w:t>119.555441</w:t>
            </w:r>
          </w:p>
        </w:tc>
        <w:tc>
          <w:tcPr>
            <w:tcW w:w="937" w:type="pct"/>
            <w:vAlign w:val="center"/>
          </w:tcPr>
          <w:p>
            <w:pPr>
              <w:adjustRightInd w:val="0"/>
              <w:snapToGrid w:val="0"/>
              <w:jc w:val="center"/>
              <w:rPr>
                <w:sz w:val="21"/>
                <w:szCs w:val="21"/>
              </w:rPr>
            </w:pPr>
            <w:r>
              <w:rPr>
                <w:rFonts w:eastAsia="等线"/>
                <w:sz w:val="21"/>
                <w:szCs w:val="21"/>
              </w:rPr>
              <w:t>29.101647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J16</w:t>
            </w:r>
          </w:p>
        </w:tc>
        <w:tc>
          <w:tcPr>
            <w:tcW w:w="1115" w:type="pct"/>
            <w:vAlign w:val="center"/>
          </w:tcPr>
          <w:p>
            <w:pPr>
              <w:adjustRightInd w:val="0"/>
              <w:snapToGrid w:val="0"/>
              <w:jc w:val="center"/>
              <w:rPr>
                <w:sz w:val="21"/>
                <w:szCs w:val="21"/>
              </w:rPr>
            </w:pPr>
            <w:r>
              <w:rPr>
                <w:sz w:val="21"/>
                <w:szCs w:val="21"/>
              </w:rPr>
              <w:t>3220619.718</w:t>
            </w:r>
          </w:p>
        </w:tc>
        <w:tc>
          <w:tcPr>
            <w:tcW w:w="1204" w:type="pct"/>
            <w:vAlign w:val="center"/>
          </w:tcPr>
          <w:p>
            <w:pPr>
              <w:adjustRightInd w:val="0"/>
              <w:snapToGrid w:val="0"/>
              <w:jc w:val="center"/>
              <w:rPr>
                <w:sz w:val="21"/>
                <w:szCs w:val="21"/>
              </w:rPr>
            </w:pPr>
            <w:r>
              <w:rPr>
                <w:sz w:val="21"/>
                <w:szCs w:val="21"/>
              </w:rPr>
              <w:t>40456725.984</w:t>
            </w:r>
          </w:p>
        </w:tc>
        <w:tc>
          <w:tcPr>
            <w:tcW w:w="1026" w:type="pct"/>
            <w:vAlign w:val="center"/>
          </w:tcPr>
          <w:p>
            <w:pPr>
              <w:adjustRightInd w:val="0"/>
              <w:snapToGrid w:val="0"/>
              <w:jc w:val="center"/>
              <w:rPr>
                <w:sz w:val="21"/>
                <w:szCs w:val="21"/>
              </w:rPr>
            </w:pPr>
            <w:r>
              <w:rPr>
                <w:rFonts w:eastAsia="等线"/>
                <w:sz w:val="21"/>
                <w:szCs w:val="21"/>
              </w:rPr>
              <w:t>119.555452</w:t>
            </w:r>
          </w:p>
        </w:tc>
        <w:tc>
          <w:tcPr>
            <w:tcW w:w="937" w:type="pct"/>
            <w:vAlign w:val="center"/>
          </w:tcPr>
          <w:p>
            <w:pPr>
              <w:adjustRightInd w:val="0"/>
              <w:snapToGrid w:val="0"/>
              <w:jc w:val="center"/>
              <w:rPr>
                <w:sz w:val="21"/>
                <w:szCs w:val="21"/>
              </w:rPr>
            </w:pPr>
            <w:r>
              <w:rPr>
                <w:rFonts w:eastAsia="等线"/>
                <w:sz w:val="21"/>
                <w:szCs w:val="21"/>
              </w:rPr>
              <w:t>29.101670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J17</w:t>
            </w:r>
          </w:p>
        </w:tc>
        <w:tc>
          <w:tcPr>
            <w:tcW w:w="1115" w:type="pct"/>
            <w:vAlign w:val="center"/>
          </w:tcPr>
          <w:p>
            <w:pPr>
              <w:adjustRightInd w:val="0"/>
              <w:snapToGrid w:val="0"/>
              <w:jc w:val="center"/>
              <w:rPr>
                <w:sz w:val="21"/>
                <w:szCs w:val="21"/>
              </w:rPr>
            </w:pPr>
            <w:r>
              <w:rPr>
                <w:sz w:val="21"/>
                <w:szCs w:val="21"/>
              </w:rPr>
              <w:t>3220621.501</w:t>
            </w:r>
          </w:p>
        </w:tc>
        <w:tc>
          <w:tcPr>
            <w:tcW w:w="1204" w:type="pct"/>
            <w:vAlign w:val="center"/>
          </w:tcPr>
          <w:p>
            <w:pPr>
              <w:adjustRightInd w:val="0"/>
              <w:snapToGrid w:val="0"/>
              <w:jc w:val="center"/>
              <w:rPr>
                <w:sz w:val="21"/>
                <w:szCs w:val="21"/>
              </w:rPr>
            </w:pPr>
            <w:r>
              <w:rPr>
                <w:sz w:val="21"/>
                <w:szCs w:val="21"/>
              </w:rPr>
              <w:t>40456726.775</w:t>
            </w:r>
          </w:p>
        </w:tc>
        <w:tc>
          <w:tcPr>
            <w:tcW w:w="1026" w:type="pct"/>
            <w:vAlign w:val="center"/>
          </w:tcPr>
          <w:p>
            <w:pPr>
              <w:adjustRightInd w:val="0"/>
              <w:snapToGrid w:val="0"/>
              <w:jc w:val="center"/>
              <w:rPr>
                <w:sz w:val="21"/>
                <w:szCs w:val="21"/>
              </w:rPr>
            </w:pPr>
            <w:r>
              <w:rPr>
                <w:rFonts w:eastAsia="等线"/>
                <w:sz w:val="21"/>
                <w:szCs w:val="21"/>
              </w:rPr>
              <w:t>119.555460</w:t>
            </w:r>
          </w:p>
        </w:tc>
        <w:tc>
          <w:tcPr>
            <w:tcW w:w="937" w:type="pct"/>
            <w:vAlign w:val="center"/>
          </w:tcPr>
          <w:p>
            <w:pPr>
              <w:adjustRightInd w:val="0"/>
              <w:snapToGrid w:val="0"/>
              <w:jc w:val="center"/>
              <w:rPr>
                <w:sz w:val="21"/>
                <w:szCs w:val="21"/>
              </w:rPr>
            </w:pPr>
            <w:r>
              <w:rPr>
                <w:rFonts w:eastAsia="等线"/>
                <w:sz w:val="21"/>
                <w:szCs w:val="21"/>
              </w:rPr>
              <w:t>29.101686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J18</w:t>
            </w:r>
          </w:p>
        </w:tc>
        <w:tc>
          <w:tcPr>
            <w:tcW w:w="1115" w:type="pct"/>
            <w:vAlign w:val="center"/>
          </w:tcPr>
          <w:p>
            <w:pPr>
              <w:adjustRightInd w:val="0"/>
              <w:snapToGrid w:val="0"/>
              <w:jc w:val="center"/>
              <w:rPr>
                <w:sz w:val="21"/>
                <w:szCs w:val="21"/>
              </w:rPr>
            </w:pPr>
            <w:r>
              <w:rPr>
                <w:sz w:val="21"/>
                <w:szCs w:val="21"/>
              </w:rPr>
              <w:t>3220621.567</w:t>
            </w:r>
          </w:p>
        </w:tc>
        <w:tc>
          <w:tcPr>
            <w:tcW w:w="1204" w:type="pct"/>
            <w:vAlign w:val="center"/>
          </w:tcPr>
          <w:p>
            <w:pPr>
              <w:adjustRightInd w:val="0"/>
              <w:snapToGrid w:val="0"/>
              <w:jc w:val="center"/>
              <w:rPr>
                <w:sz w:val="21"/>
                <w:szCs w:val="21"/>
              </w:rPr>
            </w:pPr>
            <w:r>
              <w:rPr>
                <w:sz w:val="21"/>
                <w:szCs w:val="21"/>
              </w:rPr>
              <w:t>40456726.804</w:t>
            </w:r>
          </w:p>
        </w:tc>
        <w:tc>
          <w:tcPr>
            <w:tcW w:w="1026" w:type="pct"/>
            <w:vAlign w:val="center"/>
          </w:tcPr>
          <w:p>
            <w:pPr>
              <w:adjustRightInd w:val="0"/>
              <w:snapToGrid w:val="0"/>
              <w:jc w:val="center"/>
              <w:rPr>
                <w:sz w:val="21"/>
                <w:szCs w:val="21"/>
              </w:rPr>
            </w:pPr>
            <w:r>
              <w:rPr>
                <w:rFonts w:eastAsia="等线"/>
                <w:sz w:val="21"/>
                <w:szCs w:val="21"/>
              </w:rPr>
              <w:t>119.555461</w:t>
            </w:r>
          </w:p>
        </w:tc>
        <w:tc>
          <w:tcPr>
            <w:tcW w:w="937" w:type="pct"/>
            <w:vAlign w:val="center"/>
          </w:tcPr>
          <w:p>
            <w:pPr>
              <w:adjustRightInd w:val="0"/>
              <w:snapToGrid w:val="0"/>
              <w:jc w:val="center"/>
              <w:rPr>
                <w:sz w:val="21"/>
                <w:szCs w:val="21"/>
              </w:rPr>
            </w:pPr>
            <w:r>
              <w:rPr>
                <w:rFonts w:eastAsia="等线"/>
                <w:sz w:val="21"/>
                <w:szCs w:val="21"/>
              </w:rPr>
              <w:t>29.101687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J19</w:t>
            </w:r>
          </w:p>
        </w:tc>
        <w:tc>
          <w:tcPr>
            <w:tcW w:w="1115" w:type="pct"/>
            <w:vAlign w:val="center"/>
          </w:tcPr>
          <w:p>
            <w:pPr>
              <w:adjustRightInd w:val="0"/>
              <w:snapToGrid w:val="0"/>
              <w:jc w:val="center"/>
              <w:rPr>
                <w:sz w:val="21"/>
                <w:szCs w:val="21"/>
              </w:rPr>
            </w:pPr>
            <w:r>
              <w:rPr>
                <w:sz w:val="21"/>
                <w:szCs w:val="21"/>
              </w:rPr>
              <w:t>3220622.306</w:t>
            </w:r>
          </w:p>
        </w:tc>
        <w:tc>
          <w:tcPr>
            <w:tcW w:w="1204" w:type="pct"/>
            <w:vAlign w:val="center"/>
          </w:tcPr>
          <w:p>
            <w:pPr>
              <w:adjustRightInd w:val="0"/>
              <w:snapToGrid w:val="0"/>
              <w:jc w:val="center"/>
              <w:rPr>
                <w:sz w:val="21"/>
                <w:szCs w:val="21"/>
              </w:rPr>
            </w:pPr>
            <w:r>
              <w:rPr>
                <w:sz w:val="21"/>
                <w:szCs w:val="21"/>
              </w:rPr>
              <w:t>40456727.132</w:t>
            </w:r>
          </w:p>
        </w:tc>
        <w:tc>
          <w:tcPr>
            <w:tcW w:w="1026" w:type="pct"/>
            <w:vAlign w:val="center"/>
          </w:tcPr>
          <w:p>
            <w:pPr>
              <w:adjustRightInd w:val="0"/>
              <w:snapToGrid w:val="0"/>
              <w:jc w:val="center"/>
              <w:rPr>
                <w:sz w:val="21"/>
                <w:szCs w:val="21"/>
              </w:rPr>
            </w:pPr>
            <w:r>
              <w:rPr>
                <w:rFonts w:eastAsia="等线"/>
                <w:sz w:val="21"/>
                <w:szCs w:val="21"/>
              </w:rPr>
              <w:t>119.555464</w:t>
            </w:r>
          </w:p>
        </w:tc>
        <w:tc>
          <w:tcPr>
            <w:tcW w:w="937" w:type="pct"/>
            <w:vAlign w:val="center"/>
          </w:tcPr>
          <w:p>
            <w:pPr>
              <w:adjustRightInd w:val="0"/>
              <w:snapToGrid w:val="0"/>
              <w:jc w:val="center"/>
              <w:rPr>
                <w:sz w:val="21"/>
                <w:szCs w:val="21"/>
              </w:rPr>
            </w:pPr>
            <w:r>
              <w:rPr>
                <w:rFonts w:eastAsia="等线"/>
                <w:sz w:val="21"/>
                <w:szCs w:val="21"/>
              </w:rPr>
              <w:t>29.101693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J20</w:t>
            </w:r>
          </w:p>
        </w:tc>
        <w:tc>
          <w:tcPr>
            <w:tcW w:w="1115" w:type="pct"/>
            <w:vAlign w:val="center"/>
          </w:tcPr>
          <w:p>
            <w:pPr>
              <w:adjustRightInd w:val="0"/>
              <w:snapToGrid w:val="0"/>
              <w:jc w:val="center"/>
              <w:rPr>
                <w:sz w:val="21"/>
                <w:szCs w:val="21"/>
              </w:rPr>
            </w:pPr>
            <w:r>
              <w:rPr>
                <w:sz w:val="21"/>
                <w:szCs w:val="21"/>
              </w:rPr>
              <w:t>3220624.898</w:t>
            </w:r>
          </w:p>
        </w:tc>
        <w:tc>
          <w:tcPr>
            <w:tcW w:w="1204" w:type="pct"/>
            <w:vAlign w:val="center"/>
          </w:tcPr>
          <w:p>
            <w:pPr>
              <w:adjustRightInd w:val="0"/>
              <w:snapToGrid w:val="0"/>
              <w:jc w:val="center"/>
              <w:rPr>
                <w:sz w:val="21"/>
                <w:szCs w:val="21"/>
              </w:rPr>
            </w:pPr>
            <w:r>
              <w:rPr>
                <w:sz w:val="21"/>
                <w:szCs w:val="21"/>
              </w:rPr>
              <w:t>40456728.272</w:t>
            </w:r>
          </w:p>
        </w:tc>
        <w:tc>
          <w:tcPr>
            <w:tcW w:w="1026" w:type="pct"/>
            <w:vAlign w:val="center"/>
          </w:tcPr>
          <w:p>
            <w:pPr>
              <w:adjustRightInd w:val="0"/>
              <w:snapToGrid w:val="0"/>
              <w:jc w:val="center"/>
              <w:rPr>
                <w:sz w:val="21"/>
                <w:szCs w:val="21"/>
              </w:rPr>
            </w:pPr>
            <w:r>
              <w:rPr>
                <w:rFonts w:eastAsia="等线"/>
                <w:sz w:val="21"/>
                <w:szCs w:val="21"/>
              </w:rPr>
              <w:t>119.555476</w:t>
            </w:r>
          </w:p>
        </w:tc>
        <w:tc>
          <w:tcPr>
            <w:tcW w:w="937" w:type="pct"/>
            <w:vAlign w:val="center"/>
          </w:tcPr>
          <w:p>
            <w:pPr>
              <w:adjustRightInd w:val="0"/>
              <w:snapToGrid w:val="0"/>
              <w:jc w:val="center"/>
              <w:rPr>
                <w:sz w:val="21"/>
                <w:szCs w:val="21"/>
              </w:rPr>
            </w:pPr>
            <w:r>
              <w:rPr>
                <w:rFonts w:eastAsia="等线"/>
                <w:sz w:val="21"/>
                <w:szCs w:val="21"/>
              </w:rPr>
              <w:t>29.101717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J21</w:t>
            </w:r>
          </w:p>
        </w:tc>
        <w:tc>
          <w:tcPr>
            <w:tcW w:w="1115" w:type="pct"/>
            <w:vAlign w:val="center"/>
          </w:tcPr>
          <w:p>
            <w:pPr>
              <w:adjustRightInd w:val="0"/>
              <w:snapToGrid w:val="0"/>
              <w:jc w:val="center"/>
              <w:rPr>
                <w:sz w:val="21"/>
                <w:szCs w:val="21"/>
              </w:rPr>
            </w:pPr>
            <w:r>
              <w:rPr>
                <w:sz w:val="21"/>
                <w:szCs w:val="21"/>
              </w:rPr>
              <w:t>3220624.898</w:t>
            </w:r>
          </w:p>
        </w:tc>
        <w:tc>
          <w:tcPr>
            <w:tcW w:w="1204" w:type="pct"/>
            <w:vAlign w:val="center"/>
          </w:tcPr>
          <w:p>
            <w:pPr>
              <w:adjustRightInd w:val="0"/>
              <w:snapToGrid w:val="0"/>
              <w:jc w:val="center"/>
              <w:rPr>
                <w:sz w:val="21"/>
                <w:szCs w:val="21"/>
              </w:rPr>
            </w:pPr>
            <w:r>
              <w:rPr>
                <w:sz w:val="21"/>
                <w:szCs w:val="21"/>
              </w:rPr>
              <w:t>40456729.405</w:t>
            </w:r>
          </w:p>
        </w:tc>
        <w:tc>
          <w:tcPr>
            <w:tcW w:w="1026" w:type="pct"/>
            <w:vAlign w:val="center"/>
          </w:tcPr>
          <w:p>
            <w:pPr>
              <w:adjustRightInd w:val="0"/>
              <w:snapToGrid w:val="0"/>
              <w:jc w:val="center"/>
              <w:rPr>
                <w:sz w:val="21"/>
                <w:szCs w:val="21"/>
              </w:rPr>
            </w:pPr>
            <w:r>
              <w:rPr>
                <w:rFonts w:eastAsia="等线"/>
                <w:sz w:val="21"/>
                <w:szCs w:val="21"/>
              </w:rPr>
              <w:t>119.555487</w:t>
            </w:r>
          </w:p>
        </w:tc>
        <w:tc>
          <w:tcPr>
            <w:tcW w:w="937" w:type="pct"/>
            <w:vAlign w:val="center"/>
          </w:tcPr>
          <w:p>
            <w:pPr>
              <w:adjustRightInd w:val="0"/>
              <w:snapToGrid w:val="0"/>
              <w:jc w:val="center"/>
              <w:rPr>
                <w:sz w:val="21"/>
                <w:szCs w:val="21"/>
              </w:rPr>
            </w:pPr>
            <w:r>
              <w:rPr>
                <w:rFonts w:eastAsia="等线"/>
                <w:sz w:val="21"/>
                <w:szCs w:val="21"/>
              </w:rPr>
              <w:t>29.101740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J22</w:t>
            </w:r>
          </w:p>
        </w:tc>
        <w:tc>
          <w:tcPr>
            <w:tcW w:w="1115" w:type="pct"/>
            <w:vAlign w:val="center"/>
          </w:tcPr>
          <w:p>
            <w:pPr>
              <w:adjustRightInd w:val="0"/>
              <w:snapToGrid w:val="0"/>
              <w:jc w:val="center"/>
              <w:rPr>
                <w:sz w:val="21"/>
                <w:szCs w:val="21"/>
              </w:rPr>
            </w:pPr>
            <w:r>
              <w:rPr>
                <w:sz w:val="21"/>
                <w:szCs w:val="21"/>
              </w:rPr>
              <w:t>3220630.092</w:t>
            </w:r>
          </w:p>
        </w:tc>
        <w:tc>
          <w:tcPr>
            <w:tcW w:w="1204" w:type="pct"/>
            <w:vAlign w:val="center"/>
          </w:tcPr>
          <w:p>
            <w:pPr>
              <w:adjustRightInd w:val="0"/>
              <w:snapToGrid w:val="0"/>
              <w:jc w:val="center"/>
              <w:rPr>
                <w:sz w:val="21"/>
                <w:szCs w:val="21"/>
              </w:rPr>
            </w:pPr>
            <w:r>
              <w:rPr>
                <w:sz w:val="21"/>
                <w:szCs w:val="21"/>
              </w:rPr>
              <w:t>40456730.531</w:t>
            </w:r>
          </w:p>
        </w:tc>
        <w:tc>
          <w:tcPr>
            <w:tcW w:w="1026" w:type="pct"/>
            <w:vAlign w:val="center"/>
          </w:tcPr>
          <w:p>
            <w:pPr>
              <w:adjustRightInd w:val="0"/>
              <w:snapToGrid w:val="0"/>
              <w:jc w:val="center"/>
              <w:rPr>
                <w:sz w:val="21"/>
                <w:szCs w:val="21"/>
              </w:rPr>
            </w:pPr>
            <w:r>
              <w:rPr>
                <w:rFonts w:eastAsia="等线"/>
                <w:sz w:val="21"/>
                <w:szCs w:val="21"/>
              </w:rPr>
              <w:t>119.555499</w:t>
            </w:r>
          </w:p>
        </w:tc>
        <w:tc>
          <w:tcPr>
            <w:tcW w:w="937" w:type="pct"/>
            <w:vAlign w:val="center"/>
          </w:tcPr>
          <w:p>
            <w:pPr>
              <w:adjustRightInd w:val="0"/>
              <w:snapToGrid w:val="0"/>
              <w:jc w:val="center"/>
              <w:rPr>
                <w:sz w:val="21"/>
                <w:szCs w:val="21"/>
              </w:rPr>
            </w:pPr>
            <w:r>
              <w:rPr>
                <w:rFonts w:eastAsia="等线"/>
                <w:sz w:val="21"/>
                <w:szCs w:val="21"/>
              </w:rPr>
              <w:t>29.101764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J23</w:t>
            </w:r>
          </w:p>
        </w:tc>
        <w:tc>
          <w:tcPr>
            <w:tcW w:w="1115" w:type="pct"/>
            <w:vAlign w:val="center"/>
          </w:tcPr>
          <w:p>
            <w:pPr>
              <w:adjustRightInd w:val="0"/>
              <w:snapToGrid w:val="0"/>
              <w:jc w:val="center"/>
              <w:rPr>
                <w:sz w:val="21"/>
                <w:szCs w:val="21"/>
              </w:rPr>
            </w:pPr>
            <w:r>
              <w:rPr>
                <w:sz w:val="21"/>
                <w:szCs w:val="21"/>
              </w:rPr>
              <w:t>3220632.693</w:t>
            </w:r>
          </w:p>
        </w:tc>
        <w:tc>
          <w:tcPr>
            <w:tcW w:w="1204" w:type="pct"/>
            <w:vAlign w:val="center"/>
          </w:tcPr>
          <w:p>
            <w:pPr>
              <w:adjustRightInd w:val="0"/>
              <w:snapToGrid w:val="0"/>
              <w:jc w:val="center"/>
              <w:rPr>
                <w:sz w:val="21"/>
                <w:szCs w:val="21"/>
              </w:rPr>
            </w:pPr>
            <w:r>
              <w:rPr>
                <w:sz w:val="21"/>
                <w:szCs w:val="21"/>
              </w:rPr>
              <w:t>40456731.650</w:t>
            </w:r>
          </w:p>
        </w:tc>
        <w:tc>
          <w:tcPr>
            <w:tcW w:w="1026" w:type="pct"/>
            <w:vAlign w:val="center"/>
          </w:tcPr>
          <w:p>
            <w:pPr>
              <w:adjustRightInd w:val="0"/>
              <w:snapToGrid w:val="0"/>
              <w:jc w:val="center"/>
              <w:rPr>
                <w:sz w:val="21"/>
                <w:szCs w:val="21"/>
              </w:rPr>
            </w:pPr>
            <w:r>
              <w:rPr>
                <w:rFonts w:eastAsia="等线"/>
                <w:sz w:val="21"/>
                <w:szCs w:val="21"/>
              </w:rPr>
              <w:t>119.555510</w:t>
            </w:r>
          </w:p>
        </w:tc>
        <w:tc>
          <w:tcPr>
            <w:tcW w:w="937" w:type="pct"/>
            <w:vAlign w:val="center"/>
          </w:tcPr>
          <w:p>
            <w:pPr>
              <w:adjustRightInd w:val="0"/>
              <w:snapToGrid w:val="0"/>
              <w:jc w:val="center"/>
              <w:rPr>
                <w:sz w:val="21"/>
                <w:szCs w:val="21"/>
              </w:rPr>
            </w:pPr>
            <w:r>
              <w:rPr>
                <w:rFonts w:eastAsia="等线"/>
                <w:sz w:val="21"/>
                <w:szCs w:val="21"/>
              </w:rPr>
              <w:t>29.101787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J24</w:t>
            </w:r>
          </w:p>
        </w:tc>
        <w:tc>
          <w:tcPr>
            <w:tcW w:w="1115" w:type="pct"/>
            <w:vAlign w:val="center"/>
          </w:tcPr>
          <w:p>
            <w:pPr>
              <w:adjustRightInd w:val="0"/>
              <w:snapToGrid w:val="0"/>
              <w:jc w:val="center"/>
              <w:rPr>
                <w:sz w:val="21"/>
                <w:szCs w:val="21"/>
              </w:rPr>
            </w:pPr>
            <w:r>
              <w:rPr>
                <w:sz w:val="21"/>
                <w:szCs w:val="21"/>
              </w:rPr>
              <w:t>3220635.298</w:t>
            </w:r>
          </w:p>
        </w:tc>
        <w:tc>
          <w:tcPr>
            <w:tcW w:w="1204" w:type="pct"/>
            <w:vAlign w:val="center"/>
          </w:tcPr>
          <w:p>
            <w:pPr>
              <w:adjustRightInd w:val="0"/>
              <w:snapToGrid w:val="0"/>
              <w:jc w:val="center"/>
              <w:rPr>
                <w:sz w:val="21"/>
                <w:szCs w:val="21"/>
              </w:rPr>
            </w:pPr>
            <w:r>
              <w:rPr>
                <w:sz w:val="21"/>
                <w:szCs w:val="21"/>
              </w:rPr>
              <w:t>40456732.762</w:t>
            </w:r>
          </w:p>
        </w:tc>
        <w:tc>
          <w:tcPr>
            <w:tcW w:w="1026" w:type="pct"/>
            <w:vAlign w:val="center"/>
          </w:tcPr>
          <w:p>
            <w:pPr>
              <w:adjustRightInd w:val="0"/>
              <w:snapToGrid w:val="0"/>
              <w:jc w:val="center"/>
              <w:rPr>
                <w:sz w:val="21"/>
                <w:szCs w:val="21"/>
              </w:rPr>
            </w:pPr>
            <w:r>
              <w:rPr>
                <w:rFonts w:eastAsia="等线"/>
                <w:sz w:val="21"/>
                <w:szCs w:val="21"/>
              </w:rPr>
              <w:t>119.555521</w:t>
            </w:r>
          </w:p>
        </w:tc>
        <w:tc>
          <w:tcPr>
            <w:tcW w:w="937" w:type="pct"/>
            <w:vAlign w:val="center"/>
          </w:tcPr>
          <w:p>
            <w:pPr>
              <w:adjustRightInd w:val="0"/>
              <w:snapToGrid w:val="0"/>
              <w:jc w:val="center"/>
              <w:rPr>
                <w:sz w:val="21"/>
                <w:szCs w:val="21"/>
              </w:rPr>
            </w:pPr>
            <w:r>
              <w:rPr>
                <w:rFonts w:eastAsia="等线"/>
                <w:sz w:val="21"/>
                <w:szCs w:val="21"/>
              </w:rPr>
              <w:t>29.101811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J25</w:t>
            </w:r>
          </w:p>
        </w:tc>
        <w:tc>
          <w:tcPr>
            <w:tcW w:w="1115" w:type="pct"/>
            <w:vAlign w:val="center"/>
          </w:tcPr>
          <w:p>
            <w:pPr>
              <w:adjustRightInd w:val="0"/>
              <w:snapToGrid w:val="0"/>
              <w:jc w:val="center"/>
              <w:rPr>
                <w:sz w:val="21"/>
                <w:szCs w:val="21"/>
              </w:rPr>
            </w:pPr>
            <w:r>
              <w:rPr>
                <w:sz w:val="21"/>
                <w:szCs w:val="21"/>
              </w:rPr>
              <w:t>3220637.905</w:t>
            </w:r>
          </w:p>
        </w:tc>
        <w:tc>
          <w:tcPr>
            <w:tcW w:w="1204" w:type="pct"/>
            <w:vAlign w:val="center"/>
          </w:tcPr>
          <w:p>
            <w:pPr>
              <w:adjustRightInd w:val="0"/>
              <w:snapToGrid w:val="0"/>
              <w:jc w:val="center"/>
              <w:rPr>
                <w:sz w:val="21"/>
                <w:szCs w:val="21"/>
              </w:rPr>
            </w:pPr>
            <w:r>
              <w:rPr>
                <w:sz w:val="21"/>
                <w:szCs w:val="21"/>
              </w:rPr>
              <w:t>40456733.866</w:t>
            </w:r>
          </w:p>
        </w:tc>
        <w:tc>
          <w:tcPr>
            <w:tcW w:w="1026" w:type="pct"/>
            <w:vAlign w:val="center"/>
          </w:tcPr>
          <w:p>
            <w:pPr>
              <w:adjustRightInd w:val="0"/>
              <w:snapToGrid w:val="0"/>
              <w:jc w:val="center"/>
              <w:rPr>
                <w:sz w:val="21"/>
                <w:szCs w:val="21"/>
              </w:rPr>
            </w:pPr>
            <w:r>
              <w:rPr>
                <w:rFonts w:eastAsia="等线"/>
                <w:sz w:val="21"/>
                <w:szCs w:val="21"/>
              </w:rPr>
              <w:t>119.555533</w:t>
            </w:r>
          </w:p>
        </w:tc>
        <w:tc>
          <w:tcPr>
            <w:tcW w:w="937" w:type="pct"/>
            <w:vAlign w:val="center"/>
          </w:tcPr>
          <w:p>
            <w:pPr>
              <w:adjustRightInd w:val="0"/>
              <w:snapToGrid w:val="0"/>
              <w:jc w:val="center"/>
              <w:rPr>
                <w:sz w:val="21"/>
                <w:szCs w:val="21"/>
              </w:rPr>
            </w:pPr>
            <w:r>
              <w:rPr>
                <w:rFonts w:eastAsia="等线"/>
                <w:sz w:val="21"/>
                <w:szCs w:val="21"/>
              </w:rPr>
              <w:t>29.101834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J26</w:t>
            </w:r>
          </w:p>
        </w:tc>
        <w:tc>
          <w:tcPr>
            <w:tcW w:w="1115" w:type="pct"/>
            <w:vAlign w:val="center"/>
          </w:tcPr>
          <w:p>
            <w:pPr>
              <w:adjustRightInd w:val="0"/>
              <w:snapToGrid w:val="0"/>
              <w:jc w:val="center"/>
              <w:rPr>
                <w:sz w:val="21"/>
                <w:szCs w:val="21"/>
              </w:rPr>
            </w:pPr>
            <w:r>
              <w:rPr>
                <w:sz w:val="21"/>
                <w:szCs w:val="21"/>
              </w:rPr>
              <w:t>3220640.516</w:t>
            </w:r>
          </w:p>
        </w:tc>
        <w:tc>
          <w:tcPr>
            <w:tcW w:w="1204" w:type="pct"/>
            <w:vAlign w:val="center"/>
          </w:tcPr>
          <w:p>
            <w:pPr>
              <w:adjustRightInd w:val="0"/>
              <w:snapToGrid w:val="0"/>
              <w:jc w:val="center"/>
              <w:rPr>
                <w:sz w:val="21"/>
                <w:szCs w:val="21"/>
              </w:rPr>
            </w:pPr>
            <w:r>
              <w:rPr>
                <w:sz w:val="21"/>
                <w:szCs w:val="21"/>
              </w:rPr>
              <w:t>40456734.963</w:t>
            </w:r>
          </w:p>
        </w:tc>
        <w:tc>
          <w:tcPr>
            <w:tcW w:w="1026" w:type="pct"/>
            <w:vAlign w:val="center"/>
          </w:tcPr>
          <w:p>
            <w:pPr>
              <w:adjustRightInd w:val="0"/>
              <w:snapToGrid w:val="0"/>
              <w:jc w:val="center"/>
              <w:rPr>
                <w:sz w:val="21"/>
                <w:szCs w:val="21"/>
              </w:rPr>
            </w:pPr>
            <w:r>
              <w:rPr>
                <w:rFonts w:eastAsia="等线"/>
                <w:sz w:val="21"/>
                <w:szCs w:val="21"/>
              </w:rPr>
              <w:t>119.555544</w:t>
            </w:r>
          </w:p>
        </w:tc>
        <w:tc>
          <w:tcPr>
            <w:tcW w:w="937" w:type="pct"/>
            <w:vAlign w:val="center"/>
          </w:tcPr>
          <w:p>
            <w:pPr>
              <w:adjustRightInd w:val="0"/>
              <w:snapToGrid w:val="0"/>
              <w:jc w:val="center"/>
              <w:rPr>
                <w:sz w:val="21"/>
                <w:szCs w:val="21"/>
              </w:rPr>
            </w:pPr>
            <w:r>
              <w:rPr>
                <w:rFonts w:eastAsia="等线"/>
                <w:sz w:val="21"/>
                <w:szCs w:val="21"/>
              </w:rPr>
              <w:t>29.101858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J27</w:t>
            </w:r>
          </w:p>
        </w:tc>
        <w:tc>
          <w:tcPr>
            <w:tcW w:w="1115" w:type="pct"/>
            <w:vAlign w:val="center"/>
          </w:tcPr>
          <w:p>
            <w:pPr>
              <w:adjustRightInd w:val="0"/>
              <w:snapToGrid w:val="0"/>
              <w:jc w:val="center"/>
              <w:rPr>
                <w:sz w:val="21"/>
                <w:szCs w:val="21"/>
              </w:rPr>
            </w:pPr>
            <w:r>
              <w:rPr>
                <w:sz w:val="21"/>
                <w:szCs w:val="21"/>
              </w:rPr>
              <w:t>3220643.130</w:t>
            </w:r>
          </w:p>
        </w:tc>
        <w:tc>
          <w:tcPr>
            <w:tcW w:w="1204" w:type="pct"/>
            <w:vAlign w:val="center"/>
          </w:tcPr>
          <w:p>
            <w:pPr>
              <w:adjustRightInd w:val="0"/>
              <w:snapToGrid w:val="0"/>
              <w:jc w:val="center"/>
              <w:rPr>
                <w:sz w:val="21"/>
                <w:szCs w:val="21"/>
              </w:rPr>
            </w:pPr>
            <w:r>
              <w:rPr>
                <w:sz w:val="21"/>
                <w:szCs w:val="21"/>
              </w:rPr>
              <w:t>40456736.053</w:t>
            </w:r>
          </w:p>
        </w:tc>
        <w:tc>
          <w:tcPr>
            <w:tcW w:w="1026" w:type="pct"/>
            <w:vAlign w:val="center"/>
          </w:tcPr>
          <w:p>
            <w:pPr>
              <w:adjustRightInd w:val="0"/>
              <w:snapToGrid w:val="0"/>
              <w:jc w:val="center"/>
              <w:rPr>
                <w:sz w:val="21"/>
                <w:szCs w:val="21"/>
              </w:rPr>
            </w:pPr>
            <w:r>
              <w:rPr>
                <w:rFonts w:eastAsia="等线"/>
                <w:sz w:val="21"/>
                <w:szCs w:val="21"/>
              </w:rPr>
              <w:t>119.555555</w:t>
            </w:r>
          </w:p>
        </w:tc>
        <w:tc>
          <w:tcPr>
            <w:tcW w:w="937" w:type="pct"/>
            <w:vAlign w:val="center"/>
          </w:tcPr>
          <w:p>
            <w:pPr>
              <w:adjustRightInd w:val="0"/>
              <w:snapToGrid w:val="0"/>
              <w:jc w:val="center"/>
              <w:rPr>
                <w:sz w:val="21"/>
                <w:szCs w:val="21"/>
              </w:rPr>
            </w:pPr>
            <w:r>
              <w:rPr>
                <w:rFonts w:eastAsia="等线"/>
                <w:sz w:val="21"/>
                <w:szCs w:val="21"/>
              </w:rPr>
              <w:t>29.101881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J28</w:t>
            </w:r>
          </w:p>
        </w:tc>
        <w:tc>
          <w:tcPr>
            <w:tcW w:w="1115" w:type="pct"/>
            <w:vAlign w:val="center"/>
          </w:tcPr>
          <w:p>
            <w:pPr>
              <w:adjustRightInd w:val="0"/>
              <w:snapToGrid w:val="0"/>
              <w:jc w:val="center"/>
              <w:rPr>
                <w:sz w:val="21"/>
                <w:szCs w:val="21"/>
              </w:rPr>
            </w:pPr>
            <w:r>
              <w:rPr>
                <w:sz w:val="21"/>
                <w:szCs w:val="21"/>
              </w:rPr>
              <w:t>3220644.183</w:t>
            </w:r>
          </w:p>
        </w:tc>
        <w:tc>
          <w:tcPr>
            <w:tcW w:w="1204" w:type="pct"/>
            <w:vAlign w:val="center"/>
          </w:tcPr>
          <w:p>
            <w:pPr>
              <w:adjustRightInd w:val="0"/>
              <w:snapToGrid w:val="0"/>
              <w:jc w:val="center"/>
              <w:rPr>
                <w:sz w:val="21"/>
                <w:szCs w:val="21"/>
              </w:rPr>
            </w:pPr>
            <w:r>
              <w:rPr>
                <w:sz w:val="21"/>
                <w:szCs w:val="21"/>
              </w:rPr>
              <w:t>40456736.488</w:t>
            </w:r>
          </w:p>
        </w:tc>
        <w:tc>
          <w:tcPr>
            <w:tcW w:w="1026" w:type="pct"/>
            <w:vAlign w:val="center"/>
          </w:tcPr>
          <w:p>
            <w:pPr>
              <w:adjustRightInd w:val="0"/>
              <w:snapToGrid w:val="0"/>
              <w:jc w:val="center"/>
              <w:rPr>
                <w:sz w:val="21"/>
                <w:szCs w:val="21"/>
              </w:rPr>
            </w:pPr>
            <w:r>
              <w:rPr>
                <w:rFonts w:eastAsia="等线"/>
                <w:sz w:val="21"/>
                <w:szCs w:val="21"/>
              </w:rPr>
              <w:t>119.555559</w:t>
            </w:r>
          </w:p>
        </w:tc>
        <w:tc>
          <w:tcPr>
            <w:tcW w:w="937" w:type="pct"/>
            <w:vAlign w:val="center"/>
          </w:tcPr>
          <w:p>
            <w:pPr>
              <w:adjustRightInd w:val="0"/>
              <w:snapToGrid w:val="0"/>
              <w:jc w:val="center"/>
              <w:rPr>
                <w:sz w:val="21"/>
                <w:szCs w:val="21"/>
              </w:rPr>
            </w:pPr>
            <w:r>
              <w:rPr>
                <w:rFonts w:eastAsia="等线"/>
                <w:sz w:val="21"/>
                <w:szCs w:val="21"/>
              </w:rPr>
              <w:t>29.101891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J29</w:t>
            </w:r>
          </w:p>
        </w:tc>
        <w:tc>
          <w:tcPr>
            <w:tcW w:w="1115" w:type="pct"/>
            <w:vAlign w:val="center"/>
          </w:tcPr>
          <w:p>
            <w:pPr>
              <w:adjustRightInd w:val="0"/>
              <w:snapToGrid w:val="0"/>
              <w:jc w:val="center"/>
              <w:rPr>
                <w:sz w:val="21"/>
                <w:szCs w:val="21"/>
              </w:rPr>
            </w:pPr>
            <w:r>
              <w:rPr>
                <w:sz w:val="21"/>
                <w:szCs w:val="21"/>
              </w:rPr>
              <w:t>3220644.251</w:t>
            </w:r>
          </w:p>
        </w:tc>
        <w:tc>
          <w:tcPr>
            <w:tcW w:w="1204" w:type="pct"/>
            <w:vAlign w:val="center"/>
          </w:tcPr>
          <w:p>
            <w:pPr>
              <w:adjustRightInd w:val="0"/>
              <w:snapToGrid w:val="0"/>
              <w:jc w:val="center"/>
              <w:rPr>
                <w:sz w:val="21"/>
                <w:szCs w:val="21"/>
              </w:rPr>
            </w:pPr>
            <w:r>
              <w:rPr>
                <w:sz w:val="21"/>
                <w:szCs w:val="21"/>
              </w:rPr>
              <w:t>40456736.517</w:t>
            </w:r>
          </w:p>
        </w:tc>
        <w:tc>
          <w:tcPr>
            <w:tcW w:w="1026" w:type="pct"/>
            <w:vAlign w:val="center"/>
          </w:tcPr>
          <w:p>
            <w:pPr>
              <w:adjustRightInd w:val="0"/>
              <w:snapToGrid w:val="0"/>
              <w:jc w:val="center"/>
              <w:rPr>
                <w:sz w:val="21"/>
                <w:szCs w:val="21"/>
              </w:rPr>
            </w:pPr>
            <w:r>
              <w:rPr>
                <w:rFonts w:eastAsia="等线"/>
                <w:sz w:val="21"/>
                <w:szCs w:val="21"/>
              </w:rPr>
              <w:t>119.555560</w:t>
            </w:r>
          </w:p>
        </w:tc>
        <w:tc>
          <w:tcPr>
            <w:tcW w:w="937" w:type="pct"/>
            <w:vAlign w:val="center"/>
          </w:tcPr>
          <w:p>
            <w:pPr>
              <w:adjustRightInd w:val="0"/>
              <w:snapToGrid w:val="0"/>
              <w:jc w:val="center"/>
              <w:rPr>
                <w:sz w:val="21"/>
                <w:szCs w:val="21"/>
              </w:rPr>
            </w:pPr>
            <w:r>
              <w:rPr>
                <w:rFonts w:eastAsia="等线"/>
                <w:sz w:val="21"/>
                <w:szCs w:val="21"/>
              </w:rPr>
              <w:t>29.101892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J30</w:t>
            </w:r>
          </w:p>
        </w:tc>
        <w:tc>
          <w:tcPr>
            <w:tcW w:w="1115" w:type="pct"/>
            <w:vAlign w:val="center"/>
          </w:tcPr>
          <w:p>
            <w:pPr>
              <w:adjustRightInd w:val="0"/>
              <w:snapToGrid w:val="0"/>
              <w:jc w:val="center"/>
              <w:rPr>
                <w:sz w:val="21"/>
                <w:szCs w:val="21"/>
              </w:rPr>
            </w:pPr>
            <w:r>
              <w:rPr>
                <w:sz w:val="21"/>
                <w:szCs w:val="21"/>
              </w:rPr>
              <w:t>3220645.747</w:t>
            </w:r>
          </w:p>
        </w:tc>
        <w:tc>
          <w:tcPr>
            <w:tcW w:w="1204" w:type="pct"/>
            <w:vAlign w:val="center"/>
          </w:tcPr>
          <w:p>
            <w:pPr>
              <w:adjustRightInd w:val="0"/>
              <w:snapToGrid w:val="0"/>
              <w:jc w:val="center"/>
              <w:rPr>
                <w:sz w:val="21"/>
                <w:szCs w:val="21"/>
              </w:rPr>
            </w:pPr>
            <w:r>
              <w:rPr>
                <w:sz w:val="21"/>
                <w:szCs w:val="21"/>
              </w:rPr>
              <w:t>40456737.135</w:t>
            </w:r>
          </w:p>
        </w:tc>
        <w:tc>
          <w:tcPr>
            <w:tcW w:w="1026" w:type="pct"/>
            <w:vAlign w:val="center"/>
          </w:tcPr>
          <w:p>
            <w:pPr>
              <w:adjustRightInd w:val="0"/>
              <w:snapToGrid w:val="0"/>
              <w:jc w:val="center"/>
              <w:rPr>
                <w:sz w:val="21"/>
                <w:szCs w:val="21"/>
              </w:rPr>
            </w:pPr>
            <w:r>
              <w:rPr>
                <w:rFonts w:eastAsia="等线"/>
                <w:sz w:val="21"/>
                <w:szCs w:val="21"/>
              </w:rPr>
              <w:t>119.555566</w:t>
            </w:r>
          </w:p>
        </w:tc>
        <w:tc>
          <w:tcPr>
            <w:tcW w:w="937" w:type="pct"/>
            <w:vAlign w:val="center"/>
          </w:tcPr>
          <w:p>
            <w:pPr>
              <w:adjustRightInd w:val="0"/>
              <w:snapToGrid w:val="0"/>
              <w:jc w:val="center"/>
              <w:rPr>
                <w:sz w:val="21"/>
                <w:szCs w:val="21"/>
              </w:rPr>
            </w:pPr>
            <w:r>
              <w:rPr>
                <w:rFonts w:eastAsia="等线"/>
                <w:sz w:val="21"/>
                <w:szCs w:val="21"/>
              </w:rPr>
              <w:t>29.101905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J31</w:t>
            </w:r>
          </w:p>
        </w:tc>
        <w:tc>
          <w:tcPr>
            <w:tcW w:w="1115" w:type="pct"/>
            <w:vAlign w:val="center"/>
          </w:tcPr>
          <w:p>
            <w:pPr>
              <w:adjustRightInd w:val="0"/>
              <w:snapToGrid w:val="0"/>
              <w:jc w:val="center"/>
              <w:rPr>
                <w:sz w:val="21"/>
                <w:szCs w:val="21"/>
              </w:rPr>
            </w:pPr>
            <w:r>
              <w:rPr>
                <w:sz w:val="21"/>
                <w:szCs w:val="21"/>
              </w:rPr>
              <w:t>3220648.367</w:t>
            </w:r>
          </w:p>
        </w:tc>
        <w:tc>
          <w:tcPr>
            <w:tcW w:w="1204" w:type="pct"/>
            <w:vAlign w:val="center"/>
          </w:tcPr>
          <w:p>
            <w:pPr>
              <w:adjustRightInd w:val="0"/>
              <w:snapToGrid w:val="0"/>
              <w:jc w:val="center"/>
              <w:rPr>
                <w:sz w:val="21"/>
                <w:szCs w:val="21"/>
              </w:rPr>
            </w:pPr>
            <w:r>
              <w:rPr>
                <w:sz w:val="21"/>
                <w:szCs w:val="21"/>
              </w:rPr>
              <w:t>40456738.210</w:t>
            </w:r>
          </w:p>
        </w:tc>
        <w:tc>
          <w:tcPr>
            <w:tcW w:w="1026" w:type="pct"/>
            <w:vAlign w:val="center"/>
          </w:tcPr>
          <w:p>
            <w:pPr>
              <w:adjustRightInd w:val="0"/>
              <w:snapToGrid w:val="0"/>
              <w:jc w:val="center"/>
              <w:rPr>
                <w:sz w:val="21"/>
                <w:szCs w:val="21"/>
              </w:rPr>
            </w:pPr>
            <w:r>
              <w:rPr>
                <w:rFonts w:eastAsia="等线"/>
                <w:sz w:val="21"/>
                <w:szCs w:val="21"/>
              </w:rPr>
              <w:t>119.555577</w:t>
            </w:r>
          </w:p>
        </w:tc>
        <w:tc>
          <w:tcPr>
            <w:tcW w:w="937" w:type="pct"/>
            <w:vAlign w:val="center"/>
          </w:tcPr>
          <w:p>
            <w:pPr>
              <w:adjustRightInd w:val="0"/>
              <w:snapToGrid w:val="0"/>
              <w:jc w:val="center"/>
              <w:rPr>
                <w:sz w:val="21"/>
                <w:szCs w:val="21"/>
              </w:rPr>
            </w:pPr>
            <w:r>
              <w:rPr>
                <w:rFonts w:eastAsia="等线"/>
                <w:sz w:val="21"/>
                <w:szCs w:val="21"/>
              </w:rPr>
              <w:t>29.101929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J32</w:t>
            </w:r>
          </w:p>
        </w:tc>
        <w:tc>
          <w:tcPr>
            <w:tcW w:w="1115" w:type="pct"/>
            <w:vAlign w:val="center"/>
          </w:tcPr>
          <w:p>
            <w:pPr>
              <w:adjustRightInd w:val="0"/>
              <w:snapToGrid w:val="0"/>
              <w:jc w:val="center"/>
              <w:rPr>
                <w:sz w:val="21"/>
                <w:szCs w:val="21"/>
              </w:rPr>
            </w:pPr>
            <w:r>
              <w:rPr>
                <w:sz w:val="21"/>
                <w:szCs w:val="21"/>
              </w:rPr>
              <w:t>3220650.989</w:t>
            </w:r>
          </w:p>
        </w:tc>
        <w:tc>
          <w:tcPr>
            <w:tcW w:w="1204" w:type="pct"/>
            <w:vAlign w:val="center"/>
          </w:tcPr>
          <w:p>
            <w:pPr>
              <w:adjustRightInd w:val="0"/>
              <w:snapToGrid w:val="0"/>
              <w:jc w:val="center"/>
              <w:rPr>
                <w:sz w:val="21"/>
                <w:szCs w:val="21"/>
              </w:rPr>
            </w:pPr>
            <w:r>
              <w:rPr>
                <w:sz w:val="21"/>
                <w:szCs w:val="21"/>
              </w:rPr>
              <w:t>40456739.278</w:t>
            </w:r>
          </w:p>
        </w:tc>
        <w:tc>
          <w:tcPr>
            <w:tcW w:w="1026" w:type="pct"/>
            <w:vAlign w:val="center"/>
          </w:tcPr>
          <w:p>
            <w:pPr>
              <w:adjustRightInd w:val="0"/>
              <w:snapToGrid w:val="0"/>
              <w:jc w:val="center"/>
              <w:rPr>
                <w:sz w:val="21"/>
                <w:szCs w:val="21"/>
              </w:rPr>
            </w:pPr>
            <w:r>
              <w:rPr>
                <w:rFonts w:eastAsia="等线"/>
                <w:sz w:val="21"/>
                <w:szCs w:val="21"/>
              </w:rPr>
              <w:t>119.555588</w:t>
            </w:r>
          </w:p>
        </w:tc>
        <w:tc>
          <w:tcPr>
            <w:tcW w:w="937" w:type="pct"/>
            <w:vAlign w:val="center"/>
          </w:tcPr>
          <w:p>
            <w:pPr>
              <w:adjustRightInd w:val="0"/>
              <w:snapToGrid w:val="0"/>
              <w:jc w:val="center"/>
              <w:rPr>
                <w:sz w:val="21"/>
                <w:szCs w:val="21"/>
              </w:rPr>
            </w:pPr>
            <w:r>
              <w:rPr>
                <w:rFonts w:eastAsia="等线"/>
                <w:sz w:val="21"/>
                <w:szCs w:val="21"/>
              </w:rPr>
              <w:t>29.101952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J33</w:t>
            </w:r>
          </w:p>
        </w:tc>
        <w:tc>
          <w:tcPr>
            <w:tcW w:w="1115" w:type="pct"/>
            <w:vAlign w:val="center"/>
          </w:tcPr>
          <w:p>
            <w:pPr>
              <w:adjustRightInd w:val="0"/>
              <w:snapToGrid w:val="0"/>
              <w:jc w:val="center"/>
              <w:rPr>
                <w:sz w:val="21"/>
                <w:szCs w:val="21"/>
              </w:rPr>
            </w:pPr>
            <w:r>
              <w:rPr>
                <w:sz w:val="21"/>
                <w:szCs w:val="21"/>
              </w:rPr>
              <w:t>3220653.615</w:t>
            </w:r>
          </w:p>
        </w:tc>
        <w:tc>
          <w:tcPr>
            <w:tcW w:w="1204" w:type="pct"/>
            <w:vAlign w:val="center"/>
          </w:tcPr>
          <w:p>
            <w:pPr>
              <w:adjustRightInd w:val="0"/>
              <w:snapToGrid w:val="0"/>
              <w:jc w:val="center"/>
              <w:rPr>
                <w:sz w:val="21"/>
                <w:szCs w:val="21"/>
              </w:rPr>
            </w:pPr>
            <w:r>
              <w:rPr>
                <w:sz w:val="21"/>
                <w:szCs w:val="21"/>
              </w:rPr>
              <w:t>40456740.338</w:t>
            </w:r>
          </w:p>
        </w:tc>
        <w:tc>
          <w:tcPr>
            <w:tcW w:w="1026" w:type="pct"/>
            <w:vAlign w:val="center"/>
          </w:tcPr>
          <w:p>
            <w:pPr>
              <w:adjustRightInd w:val="0"/>
              <w:snapToGrid w:val="0"/>
              <w:jc w:val="center"/>
              <w:rPr>
                <w:sz w:val="21"/>
                <w:szCs w:val="21"/>
              </w:rPr>
            </w:pPr>
            <w:r>
              <w:rPr>
                <w:rFonts w:eastAsia="等线"/>
                <w:sz w:val="21"/>
                <w:szCs w:val="21"/>
              </w:rPr>
              <w:t>119.555598</w:t>
            </w:r>
          </w:p>
        </w:tc>
        <w:tc>
          <w:tcPr>
            <w:tcW w:w="937" w:type="pct"/>
            <w:vAlign w:val="center"/>
          </w:tcPr>
          <w:p>
            <w:pPr>
              <w:adjustRightInd w:val="0"/>
              <w:snapToGrid w:val="0"/>
              <w:jc w:val="center"/>
              <w:rPr>
                <w:sz w:val="21"/>
                <w:szCs w:val="21"/>
              </w:rPr>
            </w:pPr>
            <w:r>
              <w:rPr>
                <w:rFonts w:eastAsia="等线"/>
                <w:sz w:val="21"/>
                <w:szCs w:val="21"/>
              </w:rPr>
              <w:t>29.101976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J34</w:t>
            </w:r>
          </w:p>
        </w:tc>
        <w:tc>
          <w:tcPr>
            <w:tcW w:w="1115" w:type="pct"/>
            <w:vAlign w:val="center"/>
          </w:tcPr>
          <w:p>
            <w:pPr>
              <w:adjustRightInd w:val="0"/>
              <w:snapToGrid w:val="0"/>
              <w:jc w:val="center"/>
              <w:rPr>
                <w:sz w:val="21"/>
                <w:szCs w:val="21"/>
              </w:rPr>
            </w:pPr>
            <w:r>
              <w:rPr>
                <w:sz w:val="21"/>
                <w:szCs w:val="21"/>
              </w:rPr>
              <w:t>3220656.244</w:t>
            </w:r>
          </w:p>
        </w:tc>
        <w:tc>
          <w:tcPr>
            <w:tcW w:w="1204" w:type="pct"/>
            <w:vAlign w:val="center"/>
          </w:tcPr>
          <w:p>
            <w:pPr>
              <w:adjustRightInd w:val="0"/>
              <w:snapToGrid w:val="0"/>
              <w:jc w:val="center"/>
              <w:rPr>
                <w:sz w:val="21"/>
                <w:szCs w:val="21"/>
              </w:rPr>
            </w:pPr>
            <w:r>
              <w:rPr>
                <w:sz w:val="21"/>
                <w:szCs w:val="21"/>
              </w:rPr>
              <w:t>40456741.391</w:t>
            </w:r>
          </w:p>
        </w:tc>
        <w:tc>
          <w:tcPr>
            <w:tcW w:w="1026" w:type="pct"/>
            <w:vAlign w:val="center"/>
          </w:tcPr>
          <w:p>
            <w:pPr>
              <w:adjustRightInd w:val="0"/>
              <w:snapToGrid w:val="0"/>
              <w:jc w:val="center"/>
              <w:rPr>
                <w:sz w:val="21"/>
                <w:szCs w:val="21"/>
              </w:rPr>
            </w:pPr>
            <w:r>
              <w:rPr>
                <w:rFonts w:eastAsia="等线"/>
                <w:sz w:val="21"/>
                <w:szCs w:val="21"/>
              </w:rPr>
              <w:t>119.555609</w:t>
            </w:r>
          </w:p>
        </w:tc>
        <w:tc>
          <w:tcPr>
            <w:tcW w:w="937" w:type="pct"/>
            <w:vAlign w:val="center"/>
          </w:tcPr>
          <w:p>
            <w:pPr>
              <w:adjustRightInd w:val="0"/>
              <w:snapToGrid w:val="0"/>
              <w:jc w:val="center"/>
              <w:rPr>
                <w:sz w:val="21"/>
                <w:szCs w:val="21"/>
              </w:rPr>
            </w:pPr>
            <w:r>
              <w:rPr>
                <w:rFonts w:eastAsia="等线"/>
                <w:sz w:val="21"/>
                <w:szCs w:val="21"/>
              </w:rPr>
              <w:t>29.102000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J35</w:t>
            </w:r>
          </w:p>
        </w:tc>
        <w:tc>
          <w:tcPr>
            <w:tcW w:w="1115" w:type="pct"/>
            <w:vAlign w:val="center"/>
          </w:tcPr>
          <w:p>
            <w:pPr>
              <w:adjustRightInd w:val="0"/>
              <w:snapToGrid w:val="0"/>
              <w:jc w:val="center"/>
              <w:rPr>
                <w:sz w:val="21"/>
                <w:szCs w:val="21"/>
              </w:rPr>
            </w:pPr>
            <w:r>
              <w:rPr>
                <w:sz w:val="21"/>
                <w:szCs w:val="21"/>
              </w:rPr>
              <w:t>3220658.876</w:t>
            </w:r>
          </w:p>
        </w:tc>
        <w:tc>
          <w:tcPr>
            <w:tcW w:w="1204" w:type="pct"/>
            <w:vAlign w:val="center"/>
          </w:tcPr>
          <w:p>
            <w:pPr>
              <w:adjustRightInd w:val="0"/>
              <w:snapToGrid w:val="0"/>
              <w:jc w:val="center"/>
              <w:rPr>
                <w:sz w:val="21"/>
                <w:szCs w:val="21"/>
              </w:rPr>
            </w:pPr>
            <w:r>
              <w:rPr>
                <w:sz w:val="21"/>
                <w:szCs w:val="21"/>
              </w:rPr>
              <w:t>40456742.436</w:t>
            </w:r>
          </w:p>
        </w:tc>
        <w:tc>
          <w:tcPr>
            <w:tcW w:w="1026" w:type="pct"/>
            <w:vAlign w:val="center"/>
          </w:tcPr>
          <w:p>
            <w:pPr>
              <w:adjustRightInd w:val="0"/>
              <w:snapToGrid w:val="0"/>
              <w:jc w:val="center"/>
              <w:rPr>
                <w:sz w:val="21"/>
                <w:szCs w:val="21"/>
              </w:rPr>
            </w:pPr>
            <w:r>
              <w:rPr>
                <w:rFonts w:eastAsia="等线"/>
                <w:sz w:val="21"/>
                <w:szCs w:val="21"/>
              </w:rPr>
              <w:t>119.555620</w:t>
            </w:r>
          </w:p>
        </w:tc>
        <w:tc>
          <w:tcPr>
            <w:tcW w:w="937" w:type="pct"/>
            <w:vAlign w:val="center"/>
          </w:tcPr>
          <w:p>
            <w:pPr>
              <w:adjustRightInd w:val="0"/>
              <w:snapToGrid w:val="0"/>
              <w:jc w:val="center"/>
              <w:rPr>
                <w:sz w:val="21"/>
                <w:szCs w:val="21"/>
              </w:rPr>
            </w:pPr>
            <w:r>
              <w:rPr>
                <w:rFonts w:eastAsia="等线"/>
                <w:sz w:val="21"/>
                <w:szCs w:val="21"/>
              </w:rPr>
              <w:t>29.102024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J36</w:t>
            </w:r>
          </w:p>
        </w:tc>
        <w:tc>
          <w:tcPr>
            <w:tcW w:w="1115" w:type="pct"/>
            <w:vAlign w:val="center"/>
          </w:tcPr>
          <w:p>
            <w:pPr>
              <w:adjustRightInd w:val="0"/>
              <w:snapToGrid w:val="0"/>
              <w:jc w:val="center"/>
              <w:rPr>
                <w:sz w:val="21"/>
                <w:szCs w:val="21"/>
              </w:rPr>
            </w:pPr>
            <w:r>
              <w:rPr>
                <w:sz w:val="21"/>
                <w:szCs w:val="21"/>
              </w:rPr>
              <w:t>3220661.510</w:t>
            </w:r>
          </w:p>
        </w:tc>
        <w:tc>
          <w:tcPr>
            <w:tcW w:w="1204" w:type="pct"/>
            <w:vAlign w:val="center"/>
          </w:tcPr>
          <w:p>
            <w:pPr>
              <w:adjustRightInd w:val="0"/>
              <w:snapToGrid w:val="0"/>
              <w:jc w:val="center"/>
              <w:rPr>
                <w:sz w:val="21"/>
                <w:szCs w:val="21"/>
              </w:rPr>
            </w:pPr>
            <w:r>
              <w:rPr>
                <w:sz w:val="21"/>
                <w:szCs w:val="21"/>
              </w:rPr>
              <w:t>40456743.475</w:t>
            </w:r>
          </w:p>
        </w:tc>
        <w:tc>
          <w:tcPr>
            <w:tcW w:w="1026" w:type="pct"/>
            <w:vAlign w:val="center"/>
          </w:tcPr>
          <w:p>
            <w:pPr>
              <w:adjustRightInd w:val="0"/>
              <w:snapToGrid w:val="0"/>
              <w:jc w:val="center"/>
              <w:rPr>
                <w:sz w:val="21"/>
                <w:szCs w:val="21"/>
              </w:rPr>
            </w:pPr>
            <w:r>
              <w:rPr>
                <w:rFonts w:eastAsia="等线"/>
                <w:sz w:val="21"/>
                <w:szCs w:val="21"/>
              </w:rPr>
              <w:t>119.555630</w:t>
            </w:r>
          </w:p>
        </w:tc>
        <w:tc>
          <w:tcPr>
            <w:tcW w:w="937" w:type="pct"/>
            <w:vAlign w:val="center"/>
          </w:tcPr>
          <w:p>
            <w:pPr>
              <w:adjustRightInd w:val="0"/>
              <w:snapToGrid w:val="0"/>
              <w:jc w:val="center"/>
              <w:rPr>
                <w:sz w:val="21"/>
                <w:szCs w:val="21"/>
              </w:rPr>
            </w:pPr>
            <w:r>
              <w:rPr>
                <w:rFonts w:eastAsia="等线"/>
                <w:sz w:val="21"/>
                <w:szCs w:val="21"/>
              </w:rPr>
              <w:t>29.102048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J37</w:t>
            </w:r>
          </w:p>
        </w:tc>
        <w:tc>
          <w:tcPr>
            <w:tcW w:w="1115" w:type="pct"/>
            <w:vAlign w:val="center"/>
          </w:tcPr>
          <w:p>
            <w:pPr>
              <w:adjustRightInd w:val="0"/>
              <w:snapToGrid w:val="0"/>
              <w:jc w:val="center"/>
              <w:rPr>
                <w:sz w:val="21"/>
                <w:szCs w:val="21"/>
              </w:rPr>
            </w:pPr>
            <w:r>
              <w:rPr>
                <w:sz w:val="21"/>
                <w:szCs w:val="21"/>
              </w:rPr>
              <w:t>3220664.148</w:t>
            </w:r>
          </w:p>
        </w:tc>
        <w:tc>
          <w:tcPr>
            <w:tcW w:w="1204" w:type="pct"/>
            <w:vAlign w:val="center"/>
          </w:tcPr>
          <w:p>
            <w:pPr>
              <w:adjustRightInd w:val="0"/>
              <w:snapToGrid w:val="0"/>
              <w:jc w:val="center"/>
              <w:rPr>
                <w:sz w:val="21"/>
                <w:szCs w:val="21"/>
              </w:rPr>
            </w:pPr>
            <w:r>
              <w:rPr>
                <w:sz w:val="21"/>
                <w:szCs w:val="21"/>
              </w:rPr>
              <w:t>40456744.506</w:t>
            </w:r>
          </w:p>
        </w:tc>
        <w:tc>
          <w:tcPr>
            <w:tcW w:w="1026" w:type="pct"/>
            <w:vAlign w:val="center"/>
          </w:tcPr>
          <w:p>
            <w:pPr>
              <w:adjustRightInd w:val="0"/>
              <w:snapToGrid w:val="0"/>
              <w:jc w:val="center"/>
              <w:rPr>
                <w:sz w:val="21"/>
                <w:szCs w:val="21"/>
              </w:rPr>
            </w:pPr>
            <w:r>
              <w:rPr>
                <w:rFonts w:eastAsia="等线"/>
                <w:sz w:val="21"/>
                <w:szCs w:val="21"/>
              </w:rPr>
              <w:t>119.555641</w:t>
            </w:r>
          </w:p>
        </w:tc>
        <w:tc>
          <w:tcPr>
            <w:tcW w:w="937" w:type="pct"/>
            <w:vAlign w:val="center"/>
          </w:tcPr>
          <w:p>
            <w:pPr>
              <w:adjustRightInd w:val="0"/>
              <w:snapToGrid w:val="0"/>
              <w:jc w:val="center"/>
              <w:rPr>
                <w:sz w:val="21"/>
                <w:szCs w:val="21"/>
              </w:rPr>
            </w:pPr>
            <w:r>
              <w:rPr>
                <w:rFonts w:eastAsia="等线"/>
                <w:sz w:val="21"/>
                <w:szCs w:val="21"/>
              </w:rPr>
              <w:t>29.102071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J38</w:t>
            </w:r>
          </w:p>
        </w:tc>
        <w:tc>
          <w:tcPr>
            <w:tcW w:w="1115" w:type="pct"/>
            <w:vAlign w:val="center"/>
          </w:tcPr>
          <w:p>
            <w:pPr>
              <w:adjustRightInd w:val="0"/>
              <w:snapToGrid w:val="0"/>
              <w:jc w:val="center"/>
              <w:rPr>
                <w:sz w:val="21"/>
                <w:szCs w:val="21"/>
              </w:rPr>
            </w:pPr>
            <w:r>
              <w:rPr>
                <w:sz w:val="21"/>
                <w:szCs w:val="21"/>
              </w:rPr>
              <w:t>3220666.788</w:t>
            </w:r>
          </w:p>
        </w:tc>
        <w:tc>
          <w:tcPr>
            <w:tcW w:w="1204" w:type="pct"/>
            <w:vAlign w:val="center"/>
          </w:tcPr>
          <w:p>
            <w:pPr>
              <w:adjustRightInd w:val="0"/>
              <w:snapToGrid w:val="0"/>
              <w:jc w:val="center"/>
              <w:rPr>
                <w:sz w:val="21"/>
                <w:szCs w:val="21"/>
              </w:rPr>
            </w:pPr>
            <w:r>
              <w:rPr>
                <w:sz w:val="21"/>
                <w:szCs w:val="21"/>
              </w:rPr>
              <w:t>40456745.529</w:t>
            </w:r>
          </w:p>
        </w:tc>
        <w:tc>
          <w:tcPr>
            <w:tcW w:w="1026" w:type="pct"/>
            <w:vAlign w:val="center"/>
          </w:tcPr>
          <w:p>
            <w:pPr>
              <w:adjustRightInd w:val="0"/>
              <w:snapToGrid w:val="0"/>
              <w:jc w:val="center"/>
              <w:rPr>
                <w:sz w:val="21"/>
                <w:szCs w:val="21"/>
              </w:rPr>
            </w:pPr>
            <w:r>
              <w:rPr>
                <w:rFonts w:eastAsia="等线"/>
                <w:sz w:val="21"/>
                <w:szCs w:val="21"/>
              </w:rPr>
              <w:t>119.555651</w:t>
            </w:r>
          </w:p>
        </w:tc>
        <w:tc>
          <w:tcPr>
            <w:tcW w:w="937" w:type="pct"/>
            <w:vAlign w:val="center"/>
          </w:tcPr>
          <w:p>
            <w:pPr>
              <w:adjustRightInd w:val="0"/>
              <w:snapToGrid w:val="0"/>
              <w:jc w:val="center"/>
              <w:rPr>
                <w:sz w:val="21"/>
                <w:szCs w:val="21"/>
              </w:rPr>
            </w:pPr>
            <w:r>
              <w:rPr>
                <w:rFonts w:eastAsia="等线"/>
                <w:sz w:val="21"/>
                <w:szCs w:val="21"/>
              </w:rPr>
              <w:t>29.102095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J39</w:t>
            </w:r>
          </w:p>
        </w:tc>
        <w:tc>
          <w:tcPr>
            <w:tcW w:w="1115" w:type="pct"/>
            <w:vAlign w:val="center"/>
          </w:tcPr>
          <w:p>
            <w:pPr>
              <w:adjustRightInd w:val="0"/>
              <w:snapToGrid w:val="0"/>
              <w:jc w:val="center"/>
              <w:rPr>
                <w:sz w:val="21"/>
                <w:szCs w:val="21"/>
              </w:rPr>
            </w:pPr>
            <w:r>
              <w:rPr>
                <w:sz w:val="21"/>
                <w:szCs w:val="21"/>
              </w:rPr>
              <w:t>3220667.132</w:t>
            </w:r>
          </w:p>
        </w:tc>
        <w:tc>
          <w:tcPr>
            <w:tcW w:w="1204" w:type="pct"/>
            <w:vAlign w:val="center"/>
          </w:tcPr>
          <w:p>
            <w:pPr>
              <w:adjustRightInd w:val="0"/>
              <w:snapToGrid w:val="0"/>
              <w:jc w:val="center"/>
              <w:rPr>
                <w:sz w:val="21"/>
                <w:szCs w:val="21"/>
              </w:rPr>
            </w:pPr>
            <w:r>
              <w:rPr>
                <w:sz w:val="21"/>
                <w:szCs w:val="21"/>
              </w:rPr>
              <w:t>40456745.661</w:t>
            </w:r>
          </w:p>
        </w:tc>
        <w:tc>
          <w:tcPr>
            <w:tcW w:w="1026" w:type="pct"/>
            <w:vAlign w:val="center"/>
          </w:tcPr>
          <w:p>
            <w:pPr>
              <w:adjustRightInd w:val="0"/>
              <w:snapToGrid w:val="0"/>
              <w:jc w:val="center"/>
              <w:rPr>
                <w:sz w:val="21"/>
                <w:szCs w:val="21"/>
              </w:rPr>
            </w:pPr>
            <w:r>
              <w:rPr>
                <w:rFonts w:eastAsia="等线"/>
                <w:sz w:val="21"/>
                <w:szCs w:val="21"/>
              </w:rPr>
              <w:t>119.555653</w:t>
            </w:r>
          </w:p>
        </w:tc>
        <w:tc>
          <w:tcPr>
            <w:tcW w:w="937" w:type="pct"/>
            <w:vAlign w:val="center"/>
          </w:tcPr>
          <w:p>
            <w:pPr>
              <w:adjustRightInd w:val="0"/>
              <w:snapToGrid w:val="0"/>
              <w:jc w:val="center"/>
              <w:rPr>
                <w:sz w:val="21"/>
                <w:szCs w:val="21"/>
              </w:rPr>
            </w:pPr>
            <w:r>
              <w:rPr>
                <w:rFonts w:eastAsia="等线"/>
                <w:sz w:val="21"/>
                <w:szCs w:val="21"/>
              </w:rPr>
              <w:t>29.102098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J40</w:t>
            </w:r>
          </w:p>
        </w:tc>
        <w:tc>
          <w:tcPr>
            <w:tcW w:w="1115" w:type="pct"/>
            <w:vAlign w:val="center"/>
          </w:tcPr>
          <w:p>
            <w:pPr>
              <w:adjustRightInd w:val="0"/>
              <w:snapToGrid w:val="0"/>
              <w:jc w:val="center"/>
              <w:rPr>
                <w:sz w:val="21"/>
                <w:szCs w:val="21"/>
              </w:rPr>
            </w:pPr>
            <w:r>
              <w:rPr>
                <w:sz w:val="21"/>
                <w:szCs w:val="21"/>
              </w:rPr>
              <w:t>3220667.166</w:t>
            </w:r>
          </w:p>
        </w:tc>
        <w:tc>
          <w:tcPr>
            <w:tcW w:w="1204" w:type="pct"/>
            <w:vAlign w:val="center"/>
          </w:tcPr>
          <w:p>
            <w:pPr>
              <w:adjustRightInd w:val="0"/>
              <w:snapToGrid w:val="0"/>
              <w:jc w:val="center"/>
              <w:rPr>
                <w:sz w:val="21"/>
                <w:szCs w:val="21"/>
              </w:rPr>
            </w:pPr>
            <w:r>
              <w:rPr>
                <w:sz w:val="21"/>
                <w:szCs w:val="21"/>
              </w:rPr>
              <w:t>40456745.675</w:t>
            </w:r>
          </w:p>
        </w:tc>
        <w:tc>
          <w:tcPr>
            <w:tcW w:w="1026" w:type="pct"/>
            <w:vAlign w:val="center"/>
          </w:tcPr>
          <w:p>
            <w:pPr>
              <w:adjustRightInd w:val="0"/>
              <w:snapToGrid w:val="0"/>
              <w:jc w:val="center"/>
              <w:rPr>
                <w:sz w:val="21"/>
                <w:szCs w:val="21"/>
              </w:rPr>
            </w:pPr>
            <w:r>
              <w:rPr>
                <w:rFonts w:eastAsia="等线"/>
                <w:sz w:val="21"/>
                <w:szCs w:val="21"/>
              </w:rPr>
              <w:t>119.555653</w:t>
            </w:r>
          </w:p>
        </w:tc>
        <w:tc>
          <w:tcPr>
            <w:tcW w:w="937" w:type="pct"/>
            <w:vAlign w:val="center"/>
          </w:tcPr>
          <w:p>
            <w:pPr>
              <w:adjustRightInd w:val="0"/>
              <w:snapToGrid w:val="0"/>
              <w:jc w:val="center"/>
              <w:rPr>
                <w:sz w:val="21"/>
                <w:szCs w:val="21"/>
              </w:rPr>
            </w:pPr>
            <w:r>
              <w:rPr>
                <w:rFonts w:eastAsia="等线"/>
                <w:sz w:val="21"/>
                <w:szCs w:val="21"/>
              </w:rPr>
              <w:t>29.102099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J41</w:t>
            </w:r>
          </w:p>
        </w:tc>
        <w:tc>
          <w:tcPr>
            <w:tcW w:w="1115" w:type="pct"/>
            <w:vAlign w:val="center"/>
          </w:tcPr>
          <w:p>
            <w:pPr>
              <w:adjustRightInd w:val="0"/>
              <w:snapToGrid w:val="0"/>
              <w:jc w:val="center"/>
              <w:rPr>
                <w:sz w:val="21"/>
                <w:szCs w:val="21"/>
              </w:rPr>
            </w:pPr>
            <w:r>
              <w:rPr>
                <w:sz w:val="21"/>
                <w:szCs w:val="21"/>
              </w:rPr>
              <w:t>3220669.431</w:t>
            </w:r>
          </w:p>
        </w:tc>
        <w:tc>
          <w:tcPr>
            <w:tcW w:w="1204" w:type="pct"/>
            <w:vAlign w:val="center"/>
          </w:tcPr>
          <w:p>
            <w:pPr>
              <w:adjustRightInd w:val="0"/>
              <w:snapToGrid w:val="0"/>
              <w:jc w:val="center"/>
              <w:rPr>
                <w:sz w:val="21"/>
                <w:szCs w:val="21"/>
              </w:rPr>
            </w:pPr>
            <w:r>
              <w:rPr>
                <w:sz w:val="21"/>
                <w:szCs w:val="21"/>
              </w:rPr>
              <w:t>40456746.545</w:t>
            </w:r>
          </w:p>
        </w:tc>
        <w:tc>
          <w:tcPr>
            <w:tcW w:w="1026" w:type="pct"/>
            <w:vAlign w:val="center"/>
          </w:tcPr>
          <w:p>
            <w:pPr>
              <w:adjustRightInd w:val="0"/>
              <w:snapToGrid w:val="0"/>
              <w:jc w:val="center"/>
              <w:rPr>
                <w:sz w:val="21"/>
                <w:szCs w:val="21"/>
              </w:rPr>
            </w:pPr>
            <w:r>
              <w:rPr>
                <w:rFonts w:eastAsia="等线"/>
                <w:sz w:val="21"/>
                <w:szCs w:val="21"/>
              </w:rPr>
              <w:t>119.555662</w:t>
            </w:r>
          </w:p>
        </w:tc>
        <w:tc>
          <w:tcPr>
            <w:tcW w:w="937" w:type="pct"/>
            <w:vAlign w:val="center"/>
          </w:tcPr>
          <w:p>
            <w:pPr>
              <w:adjustRightInd w:val="0"/>
              <w:snapToGrid w:val="0"/>
              <w:jc w:val="center"/>
              <w:rPr>
                <w:sz w:val="21"/>
                <w:szCs w:val="21"/>
              </w:rPr>
            </w:pPr>
            <w:r>
              <w:rPr>
                <w:rFonts w:eastAsia="等线"/>
                <w:sz w:val="21"/>
                <w:szCs w:val="21"/>
              </w:rPr>
              <w:t>29.102119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J42</w:t>
            </w:r>
          </w:p>
        </w:tc>
        <w:tc>
          <w:tcPr>
            <w:tcW w:w="1115" w:type="pct"/>
            <w:vAlign w:val="center"/>
          </w:tcPr>
          <w:p>
            <w:pPr>
              <w:adjustRightInd w:val="0"/>
              <w:snapToGrid w:val="0"/>
              <w:jc w:val="center"/>
              <w:rPr>
                <w:sz w:val="21"/>
                <w:szCs w:val="21"/>
              </w:rPr>
            </w:pPr>
            <w:r>
              <w:rPr>
                <w:sz w:val="21"/>
                <w:szCs w:val="21"/>
              </w:rPr>
              <w:t>3220672.078</w:t>
            </w:r>
          </w:p>
        </w:tc>
        <w:tc>
          <w:tcPr>
            <w:tcW w:w="1204" w:type="pct"/>
            <w:vAlign w:val="center"/>
          </w:tcPr>
          <w:p>
            <w:pPr>
              <w:adjustRightInd w:val="0"/>
              <w:snapToGrid w:val="0"/>
              <w:jc w:val="center"/>
              <w:rPr>
                <w:sz w:val="21"/>
                <w:szCs w:val="21"/>
              </w:rPr>
            </w:pPr>
            <w:r>
              <w:rPr>
                <w:sz w:val="21"/>
                <w:szCs w:val="21"/>
              </w:rPr>
              <w:t>40456747.554</w:t>
            </w:r>
          </w:p>
        </w:tc>
        <w:tc>
          <w:tcPr>
            <w:tcW w:w="1026" w:type="pct"/>
            <w:vAlign w:val="center"/>
          </w:tcPr>
          <w:p>
            <w:pPr>
              <w:adjustRightInd w:val="0"/>
              <w:snapToGrid w:val="0"/>
              <w:jc w:val="center"/>
              <w:rPr>
                <w:sz w:val="21"/>
                <w:szCs w:val="21"/>
              </w:rPr>
            </w:pPr>
            <w:r>
              <w:rPr>
                <w:rFonts w:eastAsia="等线"/>
                <w:sz w:val="21"/>
                <w:szCs w:val="21"/>
              </w:rPr>
              <w:t>119.555672</w:t>
            </w:r>
          </w:p>
        </w:tc>
        <w:tc>
          <w:tcPr>
            <w:tcW w:w="937" w:type="pct"/>
            <w:vAlign w:val="center"/>
          </w:tcPr>
          <w:p>
            <w:pPr>
              <w:adjustRightInd w:val="0"/>
              <w:snapToGrid w:val="0"/>
              <w:jc w:val="center"/>
              <w:rPr>
                <w:sz w:val="21"/>
                <w:szCs w:val="21"/>
              </w:rPr>
            </w:pPr>
            <w:r>
              <w:rPr>
                <w:rFonts w:eastAsia="等线"/>
                <w:sz w:val="21"/>
                <w:szCs w:val="21"/>
              </w:rPr>
              <w:t>29.102143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J43</w:t>
            </w:r>
          </w:p>
        </w:tc>
        <w:tc>
          <w:tcPr>
            <w:tcW w:w="1115" w:type="pct"/>
            <w:vAlign w:val="center"/>
          </w:tcPr>
          <w:p>
            <w:pPr>
              <w:adjustRightInd w:val="0"/>
              <w:snapToGrid w:val="0"/>
              <w:jc w:val="center"/>
              <w:rPr>
                <w:sz w:val="21"/>
                <w:szCs w:val="21"/>
              </w:rPr>
            </w:pPr>
            <w:r>
              <w:rPr>
                <w:sz w:val="21"/>
                <w:szCs w:val="21"/>
              </w:rPr>
              <w:t>3220674.726</w:t>
            </w:r>
          </w:p>
        </w:tc>
        <w:tc>
          <w:tcPr>
            <w:tcW w:w="1204" w:type="pct"/>
            <w:vAlign w:val="center"/>
          </w:tcPr>
          <w:p>
            <w:pPr>
              <w:adjustRightInd w:val="0"/>
              <w:snapToGrid w:val="0"/>
              <w:jc w:val="center"/>
              <w:rPr>
                <w:sz w:val="21"/>
                <w:szCs w:val="21"/>
              </w:rPr>
            </w:pPr>
            <w:r>
              <w:rPr>
                <w:sz w:val="21"/>
                <w:szCs w:val="21"/>
              </w:rPr>
              <w:t>40456748.555</w:t>
            </w:r>
          </w:p>
        </w:tc>
        <w:tc>
          <w:tcPr>
            <w:tcW w:w="1026" w:type="pct"/>
            <w:vAlign w:val="center"/>
          </w:tcPr>
          <w:p>
            <w:pPr>
              <w:adjustRightInd w:val="0"/>
              <w:snapToGrid w:val="0"/>
              <w:jc w:val="center"/>
              <w:rPr>
                <w:sz w:val="21"/>
                <w:szCs w:val="21"/>
              </w:rPr>
            </w:pPr>
            <w:r>
              <w:rPr>
                <w:rFonts w:eastAsia="等线"/>
                <w:sz w:val="21"/>
                <w:szCs w:val="21"/>
              </w:rPr>
              <w:t>119.555682</w:t>
            </w:r>
          </w:p>
        </w:tc>
        <w:tc>
          <w:tcPr>
            <w:tcW w:w="937" w:type="pct"/>
            <w:vAlign w:val="center"/>
          </w:tcPr>
          <w:p>
            <w:pPr>
              <w:adjustRightInd w:val="0"/>
              <w:snapToGrid w:val="0"/>
              <w:jc w:val="center"/>
              <w:rPr>
                <w:sz w:val="21"/>
                <w:szCs w:val="21"/>
              </w:rPr>
            </w:pPr>
            <w:r>
              <w:rPr>
                <w:rFonts w:eastAsia="等线"/>
                <w:sz w:val="21"/>
                <w:szCs w:val="21"/>
              </w:rPr>
              <w:t>29.102167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J44</w:t>
            </w:r>
          </w:p>
        </w:tc>
        <w:tc>
          <w:tcPr>
            <w:tcW w:w="1115" w:type="pct"/>
            <w:vAlign w:val="center"/>
          </w:tcPr>
          <w:p>
            <w:pPr>
              <w:adjustRightInd w:val="0"/>
              <w:snapToGrid w:val="0"/>
              <w:jc w:val="center"/>
              <w:rPr>
                <w:sz w:val="21"/>
                <w:szCs w:val="21"/>
              </w:rPr>
            </w:pPr>
            <w:r>
              <w:rPr>
                <w:sz w:val="21"/>
                <w:szCs w:val="21"/>
              </w:rPr>
              <w:t>3220677.378</w:t>
            </w:r>
          </w:p>
        </w:tc>
        <w:tc>
          <w:tcPr>
            <w:tcW w:w="1204" w:type="pct"/>
            <w:vAlign w:val="center"/>
          </w:tcPr>
          <w:p>
            <w:pPr>
              <w:adjustRightInd w:val="0"/>
              <w:snapToGrid w:val="0"/>
              <w:jc w:val="center"/>
              <w:rPr>
                <w:sz w:val="21"/>
                <w:szCs w:val="21"/>
              </w:rPr>
            </w:pPr>
            <w:r>
              <w:rPr>
                <w:sz w:val="21"/>
                <w:szCs w:val="21"/>
              </w:rPr>
              <w:t>40456749.549</w:t>
            </w:r>
          </w:p>
        </w:tc>
        <w:tc>
          <w:tcPr>
            <w:tcW w:w="1026" w:type="pct"/>
            <w:vAlign w:val="center"/>
          </w:tcPr>
          <w:p>
            <w:pPr>
              <w:adjustRightInd w:val="0"/>
              <w:snapToGrid w:val="0"/>
              <w:jc w:val="center"/>
              <w:rPr>
                <w:sz w:val="21"/>
                <w:szCs w:val="21"/>
              </w:rPr>
            </w:pPr>
            <w:r>
              <w:rPr>
                <w:rFonts w:eastAsia="等线"/>
                <w:sz w:val="21"/>
                <w:szCs w:val="21"/>
              </w:rPr>
              <w:t>119.555692</w:t>
            </w:r>
          </w:p>
        </w:tc>
        <w:tc>
          <w:tcPr>
            <w:tcW w:w="937" w:type="pct"/>
            <w:vAlign w:val="center"/>
          </w:tcPr>
          <w:p>
            <w:pPr>
              <w:adjustRightInd w:val="0"/>
              <w:snapToGrid w:val="0"/>
              <w:jc w:val="center"/>
              <w:rPr>
                <w:sz w:val="21"/>
                <w:szCs w:val="21"/>
              </w:rPr>
            </w:pPr>
            <w:r>
              <w:rPr>
                <w:rFonts w:eastAsia="等线"/>
                <w:sz w:val="21"/>
                <w:szCs w:val="21"/>
              </w:rPr>
              <w:t>29.102191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J45</w:t>
            </w:r>
          </w:p>
        </w:tc>
        <w:tc>
          <w:tcPr>
            <w:tcW w:w="1115" w:type="pct"/>
            <w:vAlign w:val="center"/>
          </w:tcPr>
          <w:p>
            <w:pPr>
              <w:adjustRightInd w:val="0"/>
              <w:snapToGrid w:val="0"/>
              <w:jc w:val="center"/>
              <w:rPr>
                <w:sz w:val="21"/>
                <w:szCs w:val="21"/>
              </w:rPr>
            </w:pPr>
            <w:r>
              <w:rPr>
                <w:sz w:val="21"/>
                <w:szCs w:val="21"/>
              </w:rPr>
              <w:t>3220680.032</w:t>
            </w:r>
          </w:p>
        </w:tc>
        <w:tc>
          <w:tcPr>
            <w:tcW w:w="1204" w:type="pct"/>
            <w:vAlign w:val="center"/>
          </w:tcPr>
          <w:p>
            <w:pPr>
              <w:adjustRightInd w:val="0"/>
              <w:snapToGrid w:val="0"/>
              <w:jc w:val="center"/>
              <w:rPr>
                <w:sz w:val="21"/>
                <w:szCs w:val="21"/>
              </w:rPr>
            </w:pPr>
            <w:r>
              <w:rPr>
                <w:sz w:val="21"/>
                <w:szCs w:val="21"/>
              </w:rPr>
              <w:t>40456750.536</w:t>
            </w:r>
          </w:p>
        </w:tc>
        <w:tc>
          <w:tcPr>
            <w:tcW w:w="1026" w:type="pct"/>
            <w:vAlign w:val="center"/>
          </w:tcPr>
          <w:p>
            <w:pPr>
              <w:adjustRightInd w:val="0"/>
              <w:snapToGrid w:val="0"/>
              <w:jc w:val="center"/>
              <w:rPr>
                <w:sz w:val="21"/>
                <w:szCs w:val="21"/>
              </w:rPr>
            </w:pPr>
            <w:r>
              <w:rPr>
                <w:rFonts w:eastAsia="等线"/>
                <w:sz w:val="21"/>
                <w:szCs w:val="21"/>
              </w:rPr>
              <w:t>119.555702</w:t>
            </w:r>
          </w:p>
        </w:tc>
        <w:tc>
          <w:tcPr>
            <w:tcW w:w="937" w:type="pct"/>
            <w:vAlign w:val="center"/>
          </w:tcPr>
          <w:p>
            <w:pPr>
              <w:adjustRightInd w:val="0"/>
              <w:snapToGrid w:val="0"/>
              <w:jc w:val="center"/>
              <w:rPr>
                <w:sz w:val="21"/>
                <w:szCs w:val="21"/>
              </w:rPr>
            </w:pPr>
            <w:r>
              <w:rPr>
                <w:rFonts w:eastAsia="等线"/>
                <w:sz w:val="21"/>
                <w:szCs w:val="21"/>
              </w:rPr>
              <w:t>29.102215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J46</w:t>
            </w:r>
          </w:p>
        </w:tc>
        <w:tc>
          <w:tcPr>
            <w:tcW w:w="1115" w:type="pct"/>
            <w:vAlign w:val="center"/>
          </w:tcPr>
          <w:p>
            <w:pPr>
              <w:adjustRightInd w:val="0"/>
              <w:snapToGrid w:val="0"/>
              <w:jc w:val="center"/>
              <w:rPr>
                <w:sz w:val="21"/>
                <w:szCs w:val="21"/>
              </w:rPr>
            </w:pPr>
            <w:r>
              <w:rPr>
                <w:sz w:val="21"/>
                <w:szCs w:val="21"/>
              </w:rPr>
              <w:t>3220682.690</w:t>
            </w:r>
          </w:p>
        </w:tc>
        <w:tc>
          <w:tcPr>
            <w:tcW w:w="1204" w:type="pct"/>
            <w:vAlign w:val="center"/>
          </w:tcPr>
          <w:p>
            <w:pPr>
              <w:adjustRightInd w:val="0"/>
              <w:snapToGrid w:val="0"/>
              <w:jc w:val="center"/>
              <w:rPr>
                <w:sz w:val="21"/>
                <w:szCs w:val="21"/>
              </w:rPr>
            </w:pPr>
            <w:r>
              <w:rPr>
                <w:sz w:val="21"/>
                <w:szCs w:val="21"/>
              </w:rPr>
              <w:t>40456751.515</w:t>
            </w:r>
          </w:p>
        </w:tc>
        <w:tc>
          <w:tcPr>
            <w:tcW w:w="1026" w:type="pct"/>
            <w:vAlign w:val="center"/>
          </w:tcPr>
          <w:p>
            <w:pPr>
              <w:adjustRightInd w:val="0"/>
              <w:snapToGrid w:val="0"/>
              <w:jc w:val="center"/>
              <w:rPr>
                <w:sz w:val="21"/>
                <w:szCs w:val="21"/>
              </w:rPr>
            </w:pPr>
            <w:r>
              <w:rPr>
                <w:rFonts w:eastAsia="等线"/>
                <w:sz w:val="21"/>
                <w:szCs w:val="21"/>
              </w:rPr>
              <w:t>119.555712</w:t>
            </w:r>
          </w:p>
        </w:tc>
        <w:tc>
          <w:tcPr>
            <w:tcW w:w="937" w:type="pct"/>
            <w:vAlign w:val="center"/>
          </w:tcPr>
          <w:p>
            <w:pPr>
              <w:adjustRightInd w:val="0"/>
              <w:snapToGrid w:val="0"/>
              <w:jc w:val="center"/>
              <w:rPr>
                <w:sz w:val="21"/>
                <w:szCs w:val="21"/>
              </w:rPr>
            </w:pPr>
            <w:r>
              <w:rPr>
                <w:rFonts w:eastAsia="等线"/>
                <w:sz w:val="21"/>
                <w:szCs w:val="21"/>
              </w:rPr>
              <w:t>29.102239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J47</w:t>
            </w:r>
          </w:p>
        </w:tc>
        <w:tc>
          <w:tcPr>
            <w:tcW w:w="1115" w:type="pct"/>
            <w:vAlign w:val="center"/>
          </w:tcPr>
          <w:p>
            <w:pPr>
              <w:adjustRightInd w:val="0"/>
              <w:snapToGrid w:val="0"/>
              <w:jc w:val="center"/>
              <w:rPr>
                <w:sz w:val="21"/>
                <w:szCs w:val="21"/>
              </w:rPr>
            </w:pPr>
            <w:r>
              <w:rPr>
                <w:sz w:val="21"/>
                <w:szCs w:val="21"/>
              </w:rPr>
              <w:t>3220685.350</w:t>
            </w:r>
          </w:p>
        </w:tc>
        <w:tc>
          <w:tcPr>
            <w:tcW w:w="1204" w:type="pct"/>
            <w:vAlign w:val="center"/>
          </w:tcPr>
          <w:p>
            <w:pPr>
              <w:adjustRightInd w:val="0"/>
              <w:snapToGrid w:val="0"/>
              <w:jc w:val="center"/>
              <w:rPr>
                <w:sz w:val="21"/>
                <w:szCs w:val="21"/>
              </w:rPr>
            </w:pPr>
            <w:r>
              <w:rPr>
                <w:sz w:val="21"/>
                <w:szCs w:val="21"/>
              </w:rPr>
              <w:t>40456752.487</w:t>
            </w:r>
          </w:p>
        </w:tc>
        <w:tc>
          <w:tcPr>
            <w:tcW w:w="1026" w:type="pct"/>
            <w:vAlign w:val="center"/>
          </w:tcPr>
          <w:p>
            <w:pPr>
              <w:adjustRightInd w:val="0"/>
              <w:snapToGrid w:val="0"/>
              <w:jc w:val="center"/>
              <w:rPr>
                <w:sz w:val="21"/>
                <w:szCs w:val="21"/>
              </w:rPr>
            </w:pPr>
            <w:r>
              <w:rPr>
                <w:rFonts w:eastAsia="等线"/>
                <w:sz w:val="21"/>
                <w:szCs w:val="21"/>
              </w:rPr>
              <w:t>119.555722</w:t>
            </w:r>
          </w:p>
        </w:tc>
        <w:tc>
          <w:tcPr>
            <w:tcW w:w="937" w:type="pct"/>
            <w:vAlign w:val="center"/>
          </w:tcPr>
          <w:p>
            <w:pPr>
              <w:adjustRightInd w:val="0"/>
              <w:snapToGrid w:val="0"/>
              <w:jc w:val="center"/>
              <w:rPr>
                <w:sz w:val="21"/>
                <w:szCs w:val="21"/>
              </w:rPr>
            </w:pPr>
            <w:r>
              <w:rPr>
                <w:rFonts w:eastAsia="等线"/>
                <w:sz w:val="21"/>
                <w:szCs w:val="21"/>
              </w:rPr>
              <w:t>29.102263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J48</w:t>
            </w:r>
          </w:p>
        </w:tc>
        <w:tc>
          <w:tcPr>
            <w:tcW w:w="1115" w:type="pct"/>
            <w:vAlign w:val="center"/>
          </w:tcPr>
          <w:p>
            <w:pPr>
              <w:adjustRightInd w:val="0"/>
              <w:snapToGrid w:val="0"/>
              <w:jc w:val="center"/>
              <w:rPr>
                <w:sz w:val="21"/>
                <w:szCs w:val="21"/>
              </w:rPr>
            </w:pPr>
            <w:r>
              <w:rPr>
                <w:sz w:val="21"/>
                <w:szCs w:val="21"/>
              </w:rPr>
              <w:t>3220688.012</w:t>
            </w:r>
          </w:p>
        </w:tc>
        <w:tc>
          <w:tcPr>
            <w:tcW w:w="1204" w:type="pct"/>
            <w:vAlign w:val="center"/>
          </w:tcPr>
          <w:p>
            <w:pPr>
              <w:adjustRightInd w:val="0"/>
              <w:snapToGrid w:val="0"/>
              <w:jc w:val="center"/>
              <w:rPr>
                <w:sz w:val="21"/>
                <w:szCs w:val="21"/>
              </w:rPr>
            </w:pPr>
            <w:r>
              <w:rPr>
                <w:sz w:val="21"/>
                <w:szCs w:val="21"/>
              </w:rPr>
              <w:t>40456753.451</w:t>
            </w:r>
          </w:p>
        </w:tc>
        <w:tc>
          <w:tcPr>
            <w:tcW w:w="1026" w:type="pct"/>
            <w:vAlign w:val="center"/>
          </w:tcPr>
          <w:p>
            <w:pPr>
              <w:adjustRightInd w:val="0"/>
              <w:snapToGrid w:val="0"/>
              <w:jc w:val="center"/>
              <w:rPr>
                <w:sz w:val="21"/>
                <w:szCs w:val="21"/>
              </w:rPr>
            </w:pPr>
            <w:r>
              <w:rPr>
                <w:rFonts w:eastAsia="等线"/>
                <w:sz w:val="21"/>
                <w:szCs w:val="21"/>
              </w:rPr>
              <w:t>119.555732</w:t>
            </w:r>
          </w:p>
        </w:tc>
        <w:tc>
          <w:tcPr>
            <w:tcW w:w="937" w:type="pct"/>
            <w:vAlign w:val="center"/>
          </w:tcPr>
          <w:p>
            <w:pPr>
              <w:adjustRightInd w:val="0"/>
              <w:snapToGrid w:val="0"/>
              <w:jc w:val="center"/>
              <w:rPr>
                <w:sz w:val="21"/>
                <w:szCs w:val="21"/>
              </w:rPr>
            </w:pPr>
            <w:r>
              <w:rPr>
                <w:rFonts w:eastAsia="等线"/>
                <w:sz w:val="21"/>
                <w:szCs w:val="21"/>
              </w:rPr>
              <w:t>29.102287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J49</w:t>
            </w:r>
          </w:p>
        </w:tc>
        <w:tc>
          <w:tcPr>
            <w:tcW w:w="1115" w:type="pct"/>
            <w:vAlign w:val="center"/>
          </w:tcPr>
          <w:p>
            <w:pPr>
              <w:adjustRightInd w:val="0"/>
              <w:snapToGrid w:val="0"/>
              <w:jc w:val="center"/>
              <w:rPr>
                <w:sz w:val="21"/>
                <w:szCs w:val="21"/>
              </w:rPr>
            </w:pPr>
            <w:r>
              <w:rPr>
                <w:sz w:val="21"/>
                <w:szCs w:val="21"/>
              </w:rPr>
              <w:t>3220690.254</w:t>
            </w:r>
          </w:p>
        </w:tc>
        <w:tc>
          <w:tcPr>
            <w:tcW w:w="1204" w:type="pct"/>
            <w:vAlign w:val="center"/>
          </w:tcPr>
          <w:p>
            <w:pPr>
              <w:adjustRightInd w:val="0"/>
              <w:snapToGrid w:val="0"/>
              <w:jc w:val="center"/>
              <w:rPr>
                <w:sz w:val="21"/>
                <w:szCs w:val="21"/>
              </w:rPr>
            </w:pPr>
            <w:r>
              <w:rPr>
                <w:sz w:val="21"/>
                <w:szCs w:val="21"/>
              </w:rPr>
              <w:t>40456754.256</w:t>
            </w:r>
          </w:p>
        </w:tc>
        <w:tc>
          <w:tcPr>
            <w:tcW w:w="1026" w:type="pct"/>
            <w:vAlign w:val="center"/>
          </w:tcPr>
          <w:p>
            <w:pPr>
              <w:adjustRightInd w:val="0"/>
              <w:snapToGrid w:val="0"/>
              <w:jc w:val="center"/>
              <w:rPr>
                <w:sz w:val="21"/>
                <w:szCs w:val="21"/>
              </w:rPr>
            </w:pPr>
            <w:r>
              <w:rPr>
                <w:rFonts w:eastAsia="等线"/>
                <w:sz w:val="21"/>
                <w:szCs w:val="21"/>
              </w:rPr>
              <w:t>119.555740</w:t>
            </w:r>
          </w:p>
        </w:tc>
        <w:tc>
          <w:tcPr>
            <w:tcW w:w="937" w:type="pct"/>
            <w:vAlign w:val="center"/>
          </w:tcPr>
          <w:p>
            <w:pPr>
              <w:adjustRightInd w:val="0"/>
              <w:snapToGrid w:val="0"/>
              <w:jc w:val="center"/>
              <w:rPr>
                <w:sz w:val="21"/>
                <w:szCs w:val="21"/>
              </w:rPr>
            </w:pPr>
            <w:r>
              <w:rPr>
                <w:rFonts w:eastAsia="等线"/>
                <w:sz w:val="21"/>
                <w:szCs w:val="21"/>
              </w:rPr>
              <w:t>29.102307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J50</w:t>
            </w:r>
          </w:p>
        </w:tc>
        <w:tc>
          <w:tcPr>
            <w:tcW w:w="1115" w:type="pct"/>
            <w:vAlign w:val="center"/>
          </w:tcPr>
          <w:p>
            <w:pPr>
              <w:adjustRightInd w:val="0"/>
              <w:snapToGrid w:val="0"/>
              <w:jc w:val="center"/>
              <w:rPr>
                <w:sz w:val="21"/>
                <w:szCs w:val="21"/>
              </w:rPr>
            </w:pPr>
            <w:r>
              <w:rPr>
                <w:sz w:val="21"/>
                <w:szCs w:val="21"/>
              </w:rPr>
              <w:t>3220690.297</w:t>
            </w:r>
          </w:p>
        </w:tc>
        <w:tc>
          <w:tcPr>
            <w:tcW w:w="1204" w:type="pct"/>
            <w:vAlign w:val="center"/>
          </w:tcPr>
          <w:p>
            <w:pPr>
              <w:adjustRightInd w:val="0"/>
              <w:snapToGrid w:val="0"/>
              <w:jc w:val="center"/>
              <w:rPr>
                <w:sz w:val="21"/>
                <w:szCs w:val="21"/>
              </w:rPr>
            </w:pPr>
            <w:r>
              <w:rPr>
                <w:sz w:val="21"/>
                <w:szCs w:val="21"/>
              </w:rPr>
              <w:t>40456754.271</w:t>
            </w:r>
          </w:p>
        </w:tc>
        <w:tc>
          <w:tcPr>
            <w:tcW w:w="1026" w:type="pct"/>
            <w:vAlign w:val="center"/>
          </w:tcPr>
          <w:p>
            <w:pPr>
              <w:adjustRightInd w:val="0"/>
              <w:snapToGrid w:val="0"/>
              <w:jc w:val="center"/>
              <w:rPr>
                <w:sz w:val="21"/>
                <w:szCs w:val="21"/>
              </w:rPr>
            </w:pPr>
            <w:r>
              <w:rPr>
                <w:rFonts w:eastAsia="等线"/>
                <w:sz w:val="21"/>
                <w:szCs w:val="21"/>
              </w:rPr>
              <w:t>119.555740</w:t>
            </w:r>
          </w:p>
        </w:tc>
        <w:tc>
          <w:tcPr>
            <w:tcW w:w="937" w:type="pct"/>
            <w:vAlign w:val="center"/>
          </w:tcPr>
          <w:p>
            <w:pPr>
              <w:adjustRightInd w:val="0"/>
              <w:snapToGrid w:val="0"/>
              <w:jc w:val="center"/>
              <w:rPr>
                <w:sz w:val="21"/>
                <w:szCs w:val="21"/>
              </w:rPr>
            </w:pPr>
            <w:r>
              <w:rPr>
                <w:rFonts w:eastAsia="等线"/>
                <w:sz w:val="21"/>
                <w:szCs w:val="21"/>
              </w:rPr>
              <w:t>29.102308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J51</w:t>
            </w:r>
          </w:p>
        </w:tc>
        <w:tc>
          <w:tcPr>
            <w:tcW w:w="1115" w:type="pct"/>
            <w:vAlign w:val="center"/>
          </w:tcPr>
          <w:p>
            <w:pPr>
              <w:adjustRightInd w:val="0"/>
              <w:snapToGrid w:val="0"/>
              <w:jc w:val="center"/>
              <w:rPr>
                <w:sz w:val="21"/>
                <w:szCs w:val="21"/>
              </w:rPr>
            </w:pPr>
            <w:r>
              <w:rPr>
                <w:sz w:val="21"/>
                <w:szCs w:val="21"/>
              </w:rPr>
              <w:t>3220690.677</w:t>
            </w:r>
          </w:p>
        </w:tc>
        <w:tc>
          <w:tcPr>
            <w:tcW w:w="1204" w:type="pct"/>
            <w:vAlign w:val="center"/>
          </w:tcPr>
          <w:p>
            <w:pPr>
              <w:adjustRightInd w:val="0"/>
              <w:snapToGrid w:val="0"/>
              <w:jc w:val="center"/>
              <w:rPr>
                <w:sz w:val="21"/>
                <w:szCs w:val="21"/>
              </w:rPr>
            </w:pPr>
            <w:r>
              <w:rPr>
                <w:sz w:val="21"/>
                <w:szCs w:val="21"/>
              </w:rPr>
              <w:t>40456754.408</w:t>
            </w:r>
          </w:p>
        </w:tc>
        <w:tc>
          <w:tcPr>
            <w:tcW w:w="1026" w:type="pct"/>
            <w:vAlign w:val="center"/>
          </w:tcPr>
          <w:p>
            <w:pPr>
              <w:adjustRightInd w:val="0"/>
              <w:snapToGrid w:val="0"/>
              <w:jc w:val="center"/>
              <w:rPr>
                <w:sz w:val="21"/>
                <w:szCs w:val="21"/>
              </w:rPr>
            </w:pPr>
            <w:r>
              <w:rPr>
                <w:rFonts w:eastAsia="等线"/>
                <w:sz w:val="21"/>
                <w:szCs w:val="21"/>
              </w:rPr>
              <w:t>119.555742</w:t>
            </w:r>
          </w:p>
        </w:tc>
        <w:tc>
          <w:tcPr>
            <w:tcW w:w="937" w:type="pct"/>
            <w:vAlign w:val="center"/>
          </w:tcPr>
          <w:p>
            <w:pPr>
              <w:adjustRightInd w:val="0"/>
              <w:snapToGrid w:val="0"/>
              <w:jc w:val="center"/>
              <w:rPr>
                <w:sz w:val="21"/>
                <w:szCs w:val="21"/>
              </w:rPr>
            </w:pPr>
            <w:r>
              <w:rPr>
                <w:rFonts w:eastAsia="等线"/>
                <w:sz w:val="21"/>
                <w:szCs w:val="21"/>
              </w:rPr>
              <w:t>29.102311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J52</w:t>
            </w:r>
          </w:p>
        </w:tc>
        <w:tc>
          <w:tcPr>
            <w:tcW w:w="1115" w:type="pct"/>
            <w:vAlign w:val="center"/>
          </w:tcPr>
          <w:p>
            <w:pPr>
              <w:adjustRightInd w:val="0"/>
              <w:snapToGrid w:val="0"/>
              <w:jc w:val="center"/>
              <w:rPr>
                <w:sz w:val="21"/>
                <w:szCs w:val="21"/>
              </w:rPr>
            </w:pPr>
            <w:r>
              <w:rPr>
                <w:sz w:val="21"/>
                <w:szCs w:val="21"/>
              </w:rPr>
              <w:t>3220693.345</w:t>
            </w:r>
          </w:p>
        </w:tc>
        <w:tc>
          <w:tcPr>
            <w:tcW w:w="1204" w:type="pct"/>
            <w:vAlign w:val="center"/>
          </w:tcPr>
          <w:p>
            <w:pPr>
              <w:adjustRightInd w:val="0"/>
              <w:snapToGrid w:val="0"/>
              <w:jc w:val="center"/>
              <w:rPr>
                <w:sz w:val="21"/>
                <w:szCs w:val="21"/>
              </w:rPr>
            </w:pPr>
            <w:r>
              <w:rPr>
                <w:sz w:val="21"/>
                <w:szCs w:val="21"/>
              </w:rPr>
              <w:t>40456755.357</w:t>
            </w:r>
          </w:p>
        </w:tc>
        <w:tc>
          <w:tcPr>
            <w:tcW w:w="1026" w:type="pct"/>
            <w:vAlign w:val="center"/>
          </w:tcPr>
          <w:p>
            <w:pPr>
              <w:adjustRightInd w:val="0"/>
              <w:snapToGrid w:val="0"/>
              <w:jc w:val="center"/>
              <w:rPr>
                <w:sz w:val="21"/>
                <w:szCs w:val="21"/>
              </w:rPr>
            </w:pPr>
            <w:r>
              <w:rPr>
                <w:rFonts w:eastAsia="等线"/>
                <w:sz w:val="21"/>
                <w:szCs w:val="21"/>
              </w:rPr>
              <w:t>119.555751</w:t>
            </w:r>
          </w:p>
        </w:tc>
        <w:tc>
          <w:tcPr>
            <w:tcW w:w="937" w:type="pct"/>
            <w:vAlign w:val="center"/>
          </w:tcPr>
          <w:p>
            <w:pPr>
              <w:adjustRightInd w:val="0"/>
              <w:snapToGrid w:val="0"/>
              <w:jc w:val="center"/>
              <w:rPr>
                <w:sz w:val="21"/>
                <w:szCs w:val="21"/>
              </w:rPr>
            </w:pPr>
            <w:r>
              <w:rPr>
                <w:rFonts w:eastAsia="等线"/>
                <w:sz w:val="21"/>
                <w:szCs w:val="21"/>
              </w:rPr>
              <w:t>29.102335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J53</w:t>
            </w:r>
          </w:p>
        </w:tc>
        <w:tc>
          <w:tcPr>
            <w:tcW w:w="1115" w:type="pct"/>
            <w:vAlign w:val="center"/>
          </w:tcPr>
          <w:p>
            <w:pPr>
              <w:adjustRightInd w:val="0"/>
              <w:snapToGrid w:val="0"/>
              <w:jc w:val="center"/>
              <w:rPr>
                <w:sz w:val="21"/>
                <w:szCs w:val="21"/>
              </w:rPr>
            </w:pPr>
            <w:r>
              <w:rPr>
                <w:sz w:val="21"/>
                <w:szCs w:val="21"/>
              </w:rPr>
              <w:t>3220696.016</w:t>
            </w:r>
          </w:p>
        </w:tc>
        <w:tc>
          <w:tcPr>
            <w:tcW w:w="1204" w:type="pct"/>
            <w:vAlign w:val="center"/>
          </w:tcPr>
          <w:p>
            <w:pPr>
              <w:adjustRightInd w:val="0"/>
              <w:snapToGrid w:val="0"/>
              <w:jc w:val="center"/>
              <w:rPr>
                <w:sz w:val="21"/>
                <w:szCs w:val="21"/>
              </w:rPr>
            </w:pPr>
            <w:r>
              <w:rPr>
                <w:sz w:val="21"/>
                <w:szCs w:val="21"/>
              </w:rPr>
              <w:t>40456756.299</w:t>
            </w:r>
          </w:p>
        </w:tc>
        <w:tc>
          <w:tcPr>
            <w:tcW w:w="1026" w:type="pct"/>
            <w:vAlign w:val="center"/>
          </w:tcPr>
          <w:p>
            <w:pPr>
              <w:adjustRightInd w:val="0"/>
              <w:snapToGrid w:val="0"/>
              <w:jc w:val="center"/>
              <w:rPr>
                <w:sz w:val="21"/>
                <w:szCs w:val="21"/>
              </w:rPr>
            </w:pPr>
            <w:r>
              <w:rPr>
                <w:rFonts w:eastAsia="等线"/>
                <w:sz w:val="21"/>
                <w:szCs w:val="21"/>
              </w:rPr>
              <w:t>119.555761</w:t>
            </w:r>
          </w:p>
        </w:tc>
        <w:tc>
          <w:tcPr>
            <w:tcW w:w="937" w:type="pct"/>
            <w:vAlign w:val="center"/>
          </w:tcPr>
          <w:p>
            <w:pPr>
              <w:adjustRightInd w:val="0"/>
              <w:snapToGrid w:val="0"/>
              <w:jc w:val="center"/>
              <w:rPr>
                <w:sz w:val="21"/>
                <w:szCs w:val="21"/>
              </w:rPr>
            </w:pPr>
            <w:r>
              <w:rPr>
                <w:rFonts w:eastAsia="等线"/>
                <w:sz w:val="21"/>
                <w:szCs w:val="21"/>
              </w:rPr>
              <w:t>29.102359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J54</w:t>
            </w:r>
          </w:p>
        </w:tc>
        <w:tc>
          <w:tcPr>
            <w:tcW w:w="1115" w:type="pct"/>
            <w:vAlign w:val="center"/>
          </w:tcPr>
          <w:p>
            <w:pPr>
              <w:adjustRightInd w:val="0"/>
              <w:snapToGrid w:val="0"/>
              <w:jc w:val="center"/>
              <w:rPr>
                <w:sz w:val="21"/>
                <w:szCs w:val="21"/>
              </w:rPr>
            </w:pPr>
            <w:r>
              <w:rPr>
                <w:sz w:val="21"/>
                <w:szCs w:val="21"/>
              </w:rPr>
              <w:t>3220698.689</w:t>
            </w:r>
          </w:p>
        </w:tc>
        <w:tc>
          <w:tcPr>
            <w:tcW w:w="1204" w:type="pct"/>
            <w:vAlign w:val="center"/>
          </w:tcPr>
          <w:p>
            <w:pPr>
              <w:adjustRightInd w:val="0"/>
              <w:snapToGrid w:val="0"/>
              <w:jc w:val="center"/>
              <w:rPr>
                <w:sz w:val="21"/>
                <w:szCs w:val="21"/>
              </w:rPr>
            </w:pPr>
            <w:r>
              <w:rPr>
                <w:sz w:val="21"/>
                <w:szCs w:val="21"/>
              </w:rPr>
              <w:t>40456757.233</w:t>
            </w:r>
          </w:p>
        </w:tc>
        <w:tc>
          <w:tcPr>
            <w:tcW w:w="1026" w:type="pct"/>
            <w:vAlign w:val="center"/>
          </w:tcPr>
          <w:p>
            <w:pPr>
              <w:adjustRightInd w:val="0"/>
              <w:snapToGrid w:val="0"/>
              <w:jc w:val="center"/>
              <w:rPr>
                <w:sz w:val="21"/>
                <w:szCs w:val="21"/>
              </w:rPr>
            </w:pPr>
            <w:r>
              <w:rPr>
                <w:rFonts w:eastAsia="等线"/>
                <w:sz w:val="21"/>
                <w:szCs w:val="21"/>
              </w:rPr>
              <w:t>119.555770</w:t>
            </w:r>
          </w:p>
        </w:tc>
        <w:tc>
          <w:tcPr>
            <w:tcW w:w="937" w:type="pct"/>
            <w:vAlign w:val="center"/>
          </w:tcPr>
          <w:p>
            <w:pPr>
              <w:adjustRightInd w:val="0"/>
              <w:snapToGrid w:val="0"/>
              <w:jc w:val="center"/>
              <w:rPr>
                <w:sz w:val="21"/>
                <w:szCs w:val="21"/>
              </w:rPr>
            </w:pPr>
            <w:r>
              <w:rPr>
                <w:rFonts w:eastAsia="等线"/>
                <w:sz w:val="21"/>
                <w:szCs w:val="21"/>
              </w:rPr>
              <w:t>29.102383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J55</w:t>
            </w:r>
          </w:p>
        </w:tc>
        <w:tc>
          <w:tcPr>
            <w:tcW w:w="1115" w:type="pct"/>
            <w:vAlign w:val="center"/>
          </w:tcPr>
          <w:p>
            <w:pPr>
              <w:adjustRightInd w:val="0"/>
              <w:snapToGrid w:val="0"/>
              <w:jc w:val="center"/>
              <w:rPr>
                <w:sz w:val="21"/>
                <w:szCs w:val="21"/>
              </w:rPr>
            </w:pPr>
            <w:r>
              <w:rPr>
                <w:sz w:val="21"/>
                <w:szCs w:val="21"/>
              </w:rPr>
              <w:t>3220701.365</w:t>
            </w:r>
          </w:p>
        </w:tc>
        <w:tc>
          <w:tcPr>
            <w:tcW w:w="1204" w:type="pct"/>
            <w:vAlign w:val="center"/>
          </w:tcPr>
          <w:p>
            <w:pPr>
              <w:adjustRightInd w:val="0"/>
              <w:snapToGrid w:val="0"/>
              <w:jc w:val="center"/>
              <w:rPr>
                <w:sz w:val="21"/>
                <w:szCs w:val="21"/>
              </w:rPr>
            </w:pPr>
            <w:r>
              <w:rPr>
                <w:sz w:val="21"/>
                <w:szCs w:val="21"/>
              </w:rPr>
              <w:t>40456758.160</w:t>
            </w:r>
          </w:p>
        </w:tc>
        <w:tc>
          <w:tcPr>
            <w:tcW w:w="1026" w:type="pct"/>
            <w:vAlign w:val="center"/>
          </w:tcPr>
          <w:p>
            <w:pPr>
              <w:adjustRightInd w:val="0"/>
              <w:snapToGrid w:val="0"/>
              <w:jc w:val="center"/>
              <w:rPr>
                <w:sz w:val="21"/>
                <w:szCs w:val="21"/>
              </w:rPr>
            </w:pPr>
            <w:r>
              <w:rPr>
                <w:rFonts w:eastAsia="等线"/>
                <w:sz w:val="21"/>
                <w:szCs w:val="21"/>
              </w:rPr>
              <w:t>119.555780</w:t>
            </w:r>
          </w:p>
        </w:tc>
        <w:tc>
          <w:tcPr>
            <w:tcW w:w="937" w:type="pct"/>
            <w:vAlign w:val="center"/>
          </w:tcPr>
          <w:p>
            <w:pPr>
              <w:adjustRightInd w:val="0"/>
              <w:snapToGrid w:val="0"/>
              <w:jc w:val="center"/>
              <w:rPr>
                <w:sz w:val="21"/>
                <w:szCs w:val="21"/>
              </w:rPr>
            </w:pPr>
            <w:r>
              <w:rPr>
                <w:rFonts w:eastAsia="等线"/>
                <w:sz w:val="21"/>
                <w:szCs w:val="21"/>
              </w:rPr>
              <w:t>29.102408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J56</w:t>
            </w:r>
          </w:p>
        </w:tc>
        <w:tc>
          <w:tcPr>
            <w:tcW w:w="1115" w:type="pct"/>
            <w:vAlign w:val="center"/>
          </w:tcPr>
          <w:p>
            <w:pPr>
              <w:adjustRightInd w:val="0"/>
              <w:snapToGrid w:val="0"/>
              <w:jc w:val="center"/>
              <w:rPr>
                <w:sz w:val="21"/>
                <w:szCs w:val="21"/>
              </w:rPr>
            </w:pPr>
            <w:r>
              <w:rPr>
                <w:sz w:val="21"/>
                <w:szCs w:val="21"/>
              </w:rPr>
              <w:t>3220704.043</w:t>
            </w:r>
          </w:p>
        </w:tc>
        <w:tc>
          <w:tcPr>
            <w:tcW w:w="1204" w:type="pct"/>
            <w:vAlign w:val="center"/>
          </w:tcPr>
          <w:p>
            <w:pPr>
              <w:adjustRightInd w:val="0"/>
              <w:snapToGrid w:val="0"/>
              <w:jc w:val="center"/>
              <w:rPr>
                <w:sz w:val="21"/>
                <w:szCs w:val="21"/>
              </w:rPr>
            </w:pPr>
            <w:r>
              <w:rPr>
                <w:sz w:val="21"/>
                <w:szCs w:val="21"/>
              </w:rPr>
              <w:t>40456759.080</w:t>
            </w:r>
          </w:p>
        </w:tc>
        <w:tc>
          <w:tcPr>
            <w:tcW w:w="1026" w:type="pct"/>
            <w:vAlign w:val="center"/>
          </w:tcPr>
          <w:p>
            <w:pPr>
              <w:adjustRightInd w:val="0"/>
              <w:snapToGrid w:val="0"/>
              <w:jc w:val="center"/>
              <w:rPr>
                <w:sz w:val="21"/>
                <w:szCs w:val="21"/>
              </w:rPr>
            </w:pPr>
            <w:r>
              <w:rPr>
                <w:rFonts w:eastAsia="等线"/>
                <w:sz w:val="21"/>
                <w:szCs w:val="21"/>
              </w:rPr>
              <w:t>119.555789</w:t>
            </w:r>
          </w:p>
        </w:tc>
        <w:tc>
          <w:tcPr>
            <w:tcW w:w="937" w:type="pct"/>
            <w:vAlign w:val="center"/>
          </w:tcPr>
          <w:p>
            <w:pPr>
              <w:adjustRightInd w:val="0"/>
              <w:snapToGrid w:val="0"/>
              <w:jc w:val="center"/>
              <w:rPr>
                <w:sz w:val="21"/>
                <w:szCs w:val="21"/>
              </w:rPr>
            </w:pPr>
            <w:r>
              <w:rPr>
                <w:rFonts w:eastAsia="等线"/>
                <w:sz w:val="21"/>
                <w:szCs w:val="21"/>
              </w:rPr>
              <w:t>29.102432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J57</w:t>
            </w:r>
          </w:p>
        </w:tc>
        <w:tc>
          <w:tcPr>
            <w:tcW w:w="1115" w:type="pct"/>
            <w:vAlign w:val="center"/>
          </w:tcPr>
          <w:p>
            <w:pPr>
              <w:adjustRightInd w:val="0"/>
              <w:snapToGrid w:val="0"/>
              <w:jc w:val="center"/>
              <w:rPr>
                <w:sz w:val="21"/>
                <w:szCs w:val="21"/>
              </w:rPr>
            </w:pPr>
            <w:r>
              <w:rPr>
                <w:sz w:val="21"/>
                <w:szCs w:val="21"/>
              </w:rPr>
              <w:t>3220706.724</w:t>
            </w:r>
          </w:p>
        </w:tc>
        <w:tc>
          <w:tcPr>
            <w:tcW w:w="1204" w:type="pct"/>
            <w:vAlign w:val="center"/>
          </w:tcPr>
          <w:p>
            <w:pPr>
              <w:adjustRightInd w:val="0"/>
              <w:snapToGrid w:val="0"/>
              <w:jc w:val="center"/>
              <w:rPr>
                <w:sz w:val="21"/>
                <w:szCs w:val="21"/>
              </w:rPr>
            </w:pPr>
            <w:r>
              <w:rPr>
                <w:sz w:val="21"/>
                <w:szCs w:val="21"/>
              </w:rPr>
              <w:t>40456759.992</w:t>
            </w:r>
          </w:p>
        </w:tc>
        <w:tc>
          <w:tcPr>
            <w:tcW w:w="1026" w:type="pct"/>
            <w:vAlign w:val="center"/>
          </w:tcPr>
          <w:p>
            <w:pPr>
              <w:adjustRightInd w:val="0"/>
              <w:snapToGrid w:val="0"/>
              <w:jc w:val="center"/>
              <w:rPr>
                <w:sz w:val="21"/>
                <w:szCs w:val="21"/>
              </w:rPr>
            </w:pPr>
            <w:r>
              <w:rPr>
                <w:rFonts w:eastAsia="等线"/>
                <w:sz w:val="21"/>
                <w:szCs w:val="21"/>
              </w:rPr>
              <w:t>119.555798</w:t>
            </w:r>
          </w:p>
        </w:tc>
        <w:tc>
          <w:tcPr>
            <w:tcW w:w="937" w:type="pct"/>
            <w:vAlign w:val="center"/>
          </w:tcPr>
          <w:p>
            <w:pPr>
              <w:adjustRightInd w:val="0"/>
              <w:snapToGrid w:val="0"/>
              <w:jc w:val="center"/>
              <w:rPr>
                <w:sz w:val="21"/>
                <w:szCs w:val="21"/>
              </w:rPr>
            </w:pPr>
            <w:r>
              <w:rPr>
                <w:rFonts w:eastAsia="等线"/>
                <w:sz w:val="21"/>
                <w:szCs w:val="21"/>
              </w:rPr>
              <w:t>29.102456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J58</w:t>
            </w:r>
          </w:p>
        </w:tc>
        <w:tc>
          <w:tcPr>
            <w:tcW w:w="1115" w:type="pct"/>
            <w:vAlign w:val="center"/>
          </w:tcPr>
          <w:p>
            <w:pPr>
              <w:adjustRightInd w:val="0"/>
              <w:snapToGrid w:val="0"/>
              <w:jc w:val="center"/>
              <w:rPr>
                <w:sz w:val="21"/>
                <w:szCs w:val="21"/>
              </w:rPr>
            </w:pPr>
            <w:r>
              <w:rPr>
                <w:sz w:val="21"/>
                <w:szCs w:val="21"/>
              </w:rPr>
              <w:t>3220709.408</w:t>
            </w:r>
          </w:p>
        </w:tc>
        <w:tc>
          <w:tcPr>
            <w:tcW w:w="1204" w:type="pct"/>
            <w:vAlign w:val="center"/>
          </w:tcPr>
          <w:p>
            <w:pPr>
              <w:adjustRightInd w:val="0"/>
              <w:snapToGrid w:val="0"/>
              <w:jc w:val="center"/>
              <w:rPr>
                <w:sz w:val="21"/>
                <w:szCs w:val="21"/>
              </w:rPr>
            </w:pPr>
            <w:r>
              <w:rPr>
                <w:sz w:val="21"/>
                <w:szCs w:val="21"/>
              </w:rPr>
              <w:t>40456760.896</w:t>
            </w:r>
          </w:p>
        </w:tc>
        <w:tc>
          <w:tcPr>
            <w:tcW w:w="1026" w:type="pct"/>
            <w:vAlign w:val="center"/>
          </w:tcPr>
          <w:p>
            <w:pPr>
              <w:adjustRightInd w:val="0"/>
              <w:snapToGrid w:val="0"/>
              <w:jc w:val="center"/>
              <w:rPr>
                <w:sz w:val="21"/>
                <w:szCs w:val="21"/>
              </w:rPr>
            </w:pPr>
            <w:r>
              <w:rPr>
                <w:rFonts w:eastAsia="等线"/>
                <w:sz w:val="21"/>
                <w:szCs w:val="21"/>
              </w:rPr>
              <w:t>119.555807</w:t>
            </w:r>
          </w:p>
        </w:tc>
        <w:tc>
          <w:tcPr>
            <w:tcW w:w="937" w:type="pct"/>
            <w:vAlign w:val="center"/>
          </w:tcPr>
          <w:p>
            <w:pPr>
              <w:adjustRightInd w:val="0"/>
              <w:snapToGrid w:val="0"/>
              <w:jc w:val="center"/>
              <w:rPr>
                <w:sz w:val="21"/>
                <w:szCs w:val="21"/>
              </w:rPr>
            </w:pPr>
            <w:r>
              <w:rPr>
                <w:rFonts w:eastAsia="等线"/>
                <w:sz w:val="21"/>
                <w:szCs w:val="21"/>
              </w:rPr>
              <w:t>29.102480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J59</w:t>
            </w:r>
          </w:p>
        </w:tc>
        <w:tc>
          <w:tcPr>
            <w:tcW w:w="1115" w:type="pct"/>
            <w:vAlign w:val="center"/>
          </w:tcPr>
          <w:p>
            <w:pPr>
              <w:adjustRightInd w:val="0"/>
              <w:snapToGrid w:val="0"/>
              <w:jc w:val="center"/>
              <w:rPr>
                <w:sz w:val="21"/>
                <w:szCs w:val="21"/>
              </w:rPr>
            </w:pPr>
            <w:r>
              <w:rPr>
                <w:sz w:val="21"/>
                <w:szCs w:val="21"/>
              </w:rPr>
              <w:t>3220712.094</w:t>
            </w:r>
          </w:p>
        </w:tc>
        <w:tc>
          <w:tcPr>
            <w:tcW w:w="1204" w:type="pct"/>
            <w:vAlign w:val="center"/>
          </w:tcPr>
          <w:p>
            <w:pPr>
              <w:adjustRightInd w:val="0"/>
              <w:snapToGrid w:val="0"/>
              <w:jc w:val="center"/>
              <w:rPr>
                <w:sz w:val="21"/>
                <w:szCs w:val="21"/>
              </w:rPr>
            </w:pPr>
            <w:r>
              <w:rPr>
                <w:sz w:val="21"/>
                <w:szCs w:val="21"/>
              </w:rPr>
              <w:t>40456761.793</w:t>
            </w:r>
          </w:p>
        </w:tc>
        <w:tc>
          <w:tcPr>
            <w:tcW w:w="1026" w:type="pct"/>
            <w:vAlign w:val="center"/>
          </w:tcPr>
          <w:p>
            <w:pPr>
              <w:adjustRightInd w:val="0"/>
              <w:snapToGrid w:val="0"/>
              <w:jc w:val="center"/>
              <w:rPr>
                <w:sz w:val="21"/>
                <w:szCs w:val="21"/>
              </w:rPr>
            </w:pPr>
            <w:r>
              <w:rPr>
                <w:rFonts w:eastAsia="等线"/>
                <w:sz w:val="21"/>
                <w:szCs w:val="21"/>
              </w:rPr>
              <w:t>119.555817</w:t>
            </w:r>
          </w:p>
        </w:tc>
        <w:tc>
          <w:tcPr>
            <w:tcW w:w="937" w:type="pct"/>
            <w:vAlign w:val="center"/>
          </w:tcPr>
          <w:p>
            <w:pPr>
              <w:adjustRightInd w:val="0"/>
              <w:snapToGrid w:val="0"/>
              <w:jc w:val="center"/>
              <w:rPr>
                <w:sz w:val="21"/>
                <w:szCs w:val="21"/>
              </w:rPr>
            </w:pPr>
            <w:r>
              <w:rPr>
                <w:rFonts w:eastAsia="等线"/>
                <w:sz w:val="21"/>
                <w:szCs w:val="21"/>
              </w:rPr>
              <w:t>29.102505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J60</w:t>
            </w:r>
          </w:p>
        </w:tc>
        <w:tc>
          <w:tcPr>
            <w:tcW w:w="1115" w:type="pct"/>
            <w:vAlign w:val="center"/>
          </w:tcPr>
          <w:p>
            <w:pPr>
              <w:adjustRightInd w:val="0"/>
              <w:snapToGrid w:val="0"/>
              <w:jc w:val="center"/>
              <w:rPr>
                <w:sz w:val="21"/>
                <w:szCs w:val="21"/>
              </w:rPr>
            </w:pPr>
            <w:r>
              <w:rPr>
                <w:sz w:val="21"/>
                <w:szCs w:val="21"/>
              </w:rPr>
              <w:t>3220713.550</w:t>
            </w:r>
          </w:p>
        </w:tc>
        <w:tc>
          <w:tcPr>
            <w:tcW w:w="1204" w:type="pct"/>
            <w:vAlign w:val="center"/>
          </w:tcPr>
          <w:p>
            <w:pPr>
              <w:adjustRightInd w:val="0"/>
              <w:snapToGrid w:val="0"/>
              <w:jc w:val="center"/>
              <w:rPr>
                <w:sz w:val="21"/>
                <w:szCs w:val="21"/>
              </w:rPr>
            </w:pPr>
            <w:r>
              <w:rPr>
                <w:sz w:val="21"/>
                <w:szCs w:val="21"/>
              </w:rPr>
              <w:t>40456762.275</w:t>
            </w:r>
          </w:p>
        </w:tc>
        <w:tc>
          <w:tcPr>
            <w:tcW w:w="1026" w:type="pct"/>
            <w:vAlign w:val="center"/>
          </w:tcPr>
          <w:p>
            <w:pPr>
              <w:adjustRightInd w:val="0"/>
              <w:snapToGrid w:val="0"/>
              <w:jc w:val="center"/>
              <w:rPr>
                <w:sz w:val="21"/>
                <w:szCs w:val="21"/>
              </w:rPr>
            </w:pPr>
            <w:r>
              <w:rPr>
                <w:rFonts w:eastAsia="等线"/>
                <w:sz w:val="21"/>
                <w:szCs w:val="21"/>
              </w:rPr>
              <w:t>119.555821</w:t>
            </w:r>
          </w:p>
        </w:tc>
        <w:tc>
          <w:tcPr>
            <w:tcW w:w="937" w:type="pct"/>
            <w:vAlign w:val="center"/>
          </w:tcPr>
          <w:p>
            <w:pPr>
              <w:adjustRightInd w:val="0"/>
              <w:snapToGrid w:val="0"/>
              <w:jc w:val="center"/>
              <w:rPr>
                <w:sz w:val="21"/>
                <w:szCs w:val="21"/>
              </w:rPr>
            </w:pPr>
            <w:r>
              <w:rPr>
                <w:rFonts w:eastAsia="等线"/>
                <w:sz w:val="21"/>
                <w:szCs w:val="21"/>
              </w:rPr>
              <w:t>29.102518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J61</w:t>
            </w:r>
          </w:p>
        </w:tc>
        <w:tc>
          <w:tcPr>
            <w:tcW w:w="1115" w:type="pct"/>
            <w:vAlign w:val="center"/>
          </w:tcPr>
          <w:p>
            <w:pPr>
              <w:adjustRightInd w:val="0"/>
              <w:snapToGrid w:val="0"/>
              <w:jc w:val="center"/>
              <w:rPr>
                <w:sz w:val="21"/>
                <w:szCs w:val="21"/>
              </w:rPr>
            </w:pPr>
            <w:r>
              <w:rPr>
                <w:sz w:val="21"/>
                <w:szCs w:val="21"/>
              </w:rPr>
              <w:t>3220713.630</w:t>
            </w:r>
          </w:p>
        </w:tc>
        <w:tc>
          <w:tcPr>
            <w:tcW w:w="1204" w:type="pct"/>
            <w:vAlign w:val="center"/>
          </w:tcPr>
          <w:p>
            <w:pPr>
              <w:adjustRightInd w:val="0"/>
              <w:snapToGrid w:val="0"/>
              <w:jc w:val="center"/>
              <w:rPr>
                <w:sz w:val="21"/>
                <w:szCs w:val="21"/>
              </w:rPr>
            </w:pPr>
            <w:r>
              <w:rPr>
                <w:sz w:val="21"/>
                <w:szCs w:val="21"/>
              </w:rPr>
              <w:t>40456762.302</w:t>
            </w:r>
          </w:p>
        </w:tc>
        <w:tc>
          <w:tcPr>
            <w:tcW w:w="1026" w:type="pct"/>
            <w:vAlign w:val="center"/>
          </w:tcPr>
          <w:p>
            <w:pPr>
              <w:adjustRightInd w:val="0"/>
              <w:snapToGrid w:val="0"/>
              <w:jc w:val="center"/>
              <w:rPr>
                <w:sz w:val="21"/>
                <w:szCs w:val="21"/>
              </w:rPr>
            </w:pPr>
            <w:r>
              <w:rPr>
                <w:rFonts w:eastAsia="等线"/>
                <w:sz w:val="21"/>
                <w:szCs w:val="21"/>
              </w:rPr>
              <w:t>119.555822</w:t>
            </w:r>
          </w:p>
        </w:tc>
        <w:tc>
          <w:tcPr>
            <w:tcW w:w="937" w:type="pct"/>
            <w:vAlign w:val="center"/>
          </w:tcPr>
          <w:p>
            <w:pPr>
              <w:adjustRightInd w:val="0"/>
              <w:snapToGrid w:val="0"/>
              <w:jc w:val="center"/>
              <w:rPr>
                <w:sz w:val="21"/>
                <w:szCs w:val="21"/>
              </w:rPr>
            </w:pPr>
            <w:r>
              <w:rPr>
                <w:rFonts w:eastAsia="等线"/>
                <w:sz w:val="21"/>
                <w:szCs w:val="21"/>
              </w:rPr>
              <w:t>29.102518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J62</w:t>
            </w:r>
          </w:p>
        </w:tc>
        <w:tc>
          <w:tcPr>
            <w:tcW w:w="1115" w:type="pct"/>
            <w:vAlign w:val="center"/>
          </w:tcPr>
          <w:p>
            <w:pPr>
              <w:adjustRightInd w:val="0"/>
              <w:snapToGrid w:val="0"/>
              <w:jc w:val="center"/>
              <w:rPr>
                <w:sz w:val="21"/>
                <w:szCs w:val="21"/>
              </w:rPr>
            </w:pPr>
            <w:r>
              <w:rPr>
                <w:sz w:val="21"/>
                <w:szCs w:val="21"/>
              </w:rPr>
              <w:t>3220714.782</w:t>
            </w:r>
          </w:p>
        </w:tc>
        <w:tc>
          <w:tcPr>
            <w:tcW w:w="1204" w:type="pct"/>
            <w:vAlign w:val="center"/>
          </w:tcPr>
          <w:p>
            <w:pPr>
              <w:adjustRightInd w:val="0"/>
              <w:snapToGrid w:val="0"/>
              <w:jc w:val="center"/>
              <w:rPr>
                <w:sz w:val="21"/>
                <w:szCs w:val="21"/>
              </w:rPr>
            </w:pPr>
            <w:r>
              <w:rPr>
                <w:sz w:val="21"/>
                <w:szCs w:val="21"/>
              </w:rPr>
              <w:t>40456762.682</w:t>
            </w:r>
          </w:p>
        </w:tc>
        <w:tc>
          <w:tcPr>
            <w:tcW w:w="1026" w:type="pct"/>
            <w:vAlign w:val="center"/>
          </w:tcPr>
          <w:p>
            <w:pPr>
              <w:adjustRightInd w:val="0"/>
              <w:snapToGrid w:val="0"/>
              <w:jc w:val="center"/>
              <w:rPr>
                <w:sz w:val="21"/>
                <w:szCs w:val="21"/>
              </w:rPr>
            </w:pPr>
            <w:r>
              <w:rPr>
                <w:rFonts w:eastAsia="等线"/>
                <w:sz w:val="21"/>
                <w:szCs w:val="21"/>
              </w:rPr>
              <w:t>119.555826</w:t>
            </w:r>
          </w:p>
        </w:tc>
        <w:tc>
          <w:tcPr>
            <w:tcW w:w="937" w:type="pct"/>
            <w:vAlign w:val="center"/>
          </w:tcPr>
          <w:p>
            <w:pPr>
              <w:adjustRightInd w:val="0"/>
              <w:snapToGrid w:val="0"/>
              <w:jc w:val="center"/>
              <w:rPr>
                <w:sz w:val="21"/>
                <w:szCs w:val="21"/>
              </w:rPr>
            </w:pPr>
            <w:r>
              <w:rPr>
                <w:rFonts w:eastAsia="等线"/>
                <w:sz w:val="21"/>
                <w:szCs w:val="21"/>
              </w:rPr>
              <w:t>29.102529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J63</w:t>
            </w:r>
          </w:p>
        </w:tc>
        <w:tc>
          <w:tcPr>
            <w:tcW w:w="1115" w:type="pct"/>
            <w:vAlign w:val="center"/>
          </w:tcPr>
          <w:p>
            <w:pPr>
              <w:adjustRightInd w:val="0"/>
              <w:snapToGrid w:val="0"/>
              <w:jc w:val="center"/>
              <w:rPr>
                <w:sz w:val="21"/>
                <w:szCs w:val="21"/>
              </w:rPr>
            </w:pPr>
            <w:r>
              <w:rPr>
                <w:sz w:val="21"/>
                <w:szCs w:val="21"/>
              </w:rPr>
              <w:t>3220717.473</w:t>
            </w:r>
          </w:p>
        </w:tc>
        <w:tc>
          <w:tcPr>
            <w:tcW w:w="1204" w:type="pct"/>
            <w:vAlign w:val="center"/>
          </w:tcPr>
          <w:p>
            <w:pPr>
              <w:adjustRightInd w:val="0"/>
              <w:snapToGrid w:val="0"/>
              <w:jc w:val="center"/>
              <w:rPr>
                <w:sz w:val="21"/>
                <w:szCs w:val="21"/>
              </w:rPr>
            </w:pPr>
            <w:r>
              <w:rPr>
                <w:sz w:val="21"/>
                <w:szCs w:val="21"/>
              </w:rPr>
              <w:t>40456763.564</w:t>
            </w:r>
          </w:p>
        </w:tc>
        <w:tc>
          <w:tcPr>
            <w:tcW w:w="1026" w:type="pct"/>
            <w:vAlign w:val="center"/>
          </w:tcPr>
          <w:p>
            <w:pPr>
              <w:adjustRightInd w:val="0"/>
              <w:snapToGrid w:val="0"/>
              <w:jc w:val="center"/>
              <w:rPr>
                <w:sz w:val="21"/>
                <w:szCs w:val="21"/>
              </w:rPr>
            </w:pPr>
            <w:r>
              <w:rPr>
                <w:rFonts w:eastAsia="等线"/>
                <w:sz w:val="21"/>
                <w:szCs w:val="21"/>
              </w:rPr>
              <w:t>119.555835</w:t>
            </w:r>
          </w:p>
        </w:tc>
        <w:tc>
          <w:tcPr>
            <w:tcW w:w="937" w:type="pct"/>
            <w:vAlign w:val="center"/>
          </w:tcPr>
          <w:p>
            <w:pPr>
              <w:adjustRightInd w:val="0"/>
              <w:snapToGrid w:val="0"/>
              <w:jc w:val="center"/>
              <w:rPr>
                <w:sz w:val="21"/>
                <w:szCs w:val="21"/>
              </w:rPr>
            </w:pPr>
            <w:r>
              <w:rPr>
                <w:rFonts w:eastAsia="等线"/>
                <w:sz w:val="21"/>
                <w:szCs w:val="21"/>
              </w:rPr>
              <w:t>29.102553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J64</w:t>
            </w:r>
          </w:p>
        </w:tc>
        <w:tc>
          <w:tcPr>
            <w:tcW w:w="1115" w:type="pct"/>
            <w:vAlign w:val="center"/>
          </w:tcPr>
          <w:p>
            <w:pPr>
              <w:adjustRightInd w:val="0"/>
              <w:snapToGrid w:val="0"/>
              <w:jc w:val="center"/>
              <w:rPr>
                <w:sz w:val="21"/>
                <w:szCs w:val="21"/>
              </w:rPr>
            </w:pPr>
            <w:r>
              <w:rPr>
                <w:sz w:val="21"/>
                <w:szCs w:val="21"/>
              </w:rPr>
              <w:t>3220720.167</w:t>
            </w:r>
          </w:p>
        </w:tc>
        <w:tc>
          <w:tcPr>
            <w:tcW w:w="1204" w:type="pct"/>
            <w:vAlign w:val="center"/>
          </w:tcPr>
          <w:p>
            <w:pPr>
              <w:adjustRightInd w:val="0"/>
              <w:snapToGrid w:val="0"/>
              <w:jc w:val="center"/>
              <w:rPr>
                <w:sz w:val="21"/>
                <w:szCs w:val="21"/>
              </w:rPr>
            </w:pPr>
            <w:r>
              <w:rPr>
                <w:sz w:val="21"/>
                <w:szCs w:val="21"/>
              </w:rPr>
              <w:t>40456764.439</w:t>
            </w:r>
          </w:p>
        </w:tc>
        <w:tc>
          <w:tcPr>
            <w:tcW w:w="1026" w:type="pct"/>
            <w:vAlign w:val="center"/>
          </w:tcPr>
          <w:p>
            <w:pPr>
              <w:adjustRightInd w:val="0"/>
              <w:snapToGrid w:val="0"/>
              <w:jc w:val="center"/>
              <w:rPr>
                <w:sz w:val="21"/>
                <w:szCs w:val="21"/>
              </w:rPr>
            </w:pPr>
            <w:r>
              <w:rPr>
                <w:rFonts w:eastAsia="等线"/>
                <w:sz w:val="21"/>
                <w:szCs w:val="21"/>
              </w:rPr>
              <w:t>119.555843</w:t>
            </w:r>
          </w:p>
        </w:tc>
        <w:tc>
          <w:tcPr>
            <w:tcW w:w="937" w:type="pct"/>
            <w:vAlign w:val="center"/>
          </w:tcPr>
          <w:p>
            <w:pPr>
              <w:adjustRightInd w:val="0"/>
              <w:snapToGrid w:val="0"/>
              <w:jc w:val="center"/>
              <w:rPr>
                <w:sz w:val="21"/>
                <w:szCs w:val="21"/>
              </w:rPr>
            </w:pPr>
            <w:r>
              <w:rPr>
                <w:rFonts w:eastAsia="等线"/>
                <w:sz w:val="21"/>
                <w:szCs w:val="21"/>
              </w:rPr>
              <w:t>29.102577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J65</w:t>
            </w:r>
          </w:p>
        </w:tc>
        <w:tc>
          <w:tcPr>
            <w:tcW w:w="1115" w:type="pct"/>
            <w:vAlign w:val="center"/>
          </w:tcPr>
          <w:p>
            <w:pPr>
              <w:adjustRightInd w:val="0"/>
              <w:snapToGrid w:val="0"/>
              <w:jc w:val="center"/>
              <w:rPr>
                <w:sz w:val="21"/>
                <w:szCs w:val="21"/>
              </w:rPr>
            </w:pPr>
            <w:r>
              <w:rPr>
                <w:sz w:val="21"/>
                <w:szCs w:val="21"/>
              </w:rPr>
              <w:t>3220722.863</w:t>
            </w:r>
          </w:p>
        </w:tc>
        <w:tc>
          <w:tcPr>
            <w:tcW w:w="1204" w:type="pct"/>
            <w:vAlign w:val="center"/>
          </w:tcPr>
          <w:p>
            <w:pPr>
              <w:adjustRightInd w:val="0"/>
              <w:snapToGrid w:val="0"/>
              <w:jc w:val="center"/>
              <w:rPr>
                <w:sz w:val="21"/>
                <w:szCs w:val="21"/>
              </w:rPr>
            </w:pPr>
            <w:r>
              <w:rPr>
                <w:sz w:val="21"/>
                <w:szCs w:val="21"/>
              </w:rPr>
              <w:t>40456765.306</w:t>
            </w:r>
          </w:p>
        </w:tc>
        <w:tc>
          <w:tcPr>
            <w:tcW w:w="1026" w:type="pct"/>
            <w:vAlign w:val="center"/>
          </w:tcPr>
          <w:p>
            <w:pPr>
              <w:adjustRightInd w:val="0"/>
              <w:snapToGrid w:val="0"/>
              <w:jc w:val="center"/>
              <w:rPr>
                <w:sz w:val="21"/>
                <w:szCs w:val="21"/>
              </w:rPr>
            </w:pPr>
            <w:r>
              <w:rPr>
                <w:rFonts w:eastAsia="等线"/>
                <w:sz w:val="21"/>
                <w:szCs w:val="21"/>
              </w:rPr>
              <w:t>119.555852</w:t>
            </w:r>
          </w:p>
        </w:tc>
        <w:tc>
          <w:tcPr>
            <w:tcW w:w="937" w:type="pct"/>
            <w:vAlign w:val="center"/>
          </w:tcPr>
          <w:p>
            <w:pPr>
              <w:adjustRightInd w:val="0"/>
              <w:snapToGrid w:val="0"/>
              <w:jc w:val="center"/>
              <w:rPr>
                <w:sz w:val="21"/>
                <w:szCs w:val="21"/>
              </w:rPr>
            </w:pPr>
            <w:r>
              <w:rPr>
                <w:rFonts w:eastAsia="等线"/>
                <w:sz w:val="21"/>
                <w:szCs w:val="21"/>
              </w:rPr>
              <w:t>29.102602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J66</w:t>
            </w:r>
          </w:p>
        </w:tc>
        <w:tc>
          <w:tcPr>
            <w:tcW w:w="1115" w:type="pct"/>
            <w:vAlign w:val="center"/>
          </w:tcPr>
          <w:p>
            <w:pPr>
              <w:adjustRightInd w:val="0"/>
              <w:snapToGrid w:val="0"/>
              <w:jc w:val="center"/>
              <w:rPr>
                <w:sz w:val="21"/>
                <w:szCs w:val="21"/>
              </w:rPr>
            </w:pPr>
            <w:r>
              <w:rPr>
                <w:sz w:val="21"/>
                <w:szCs w:val="21"/>
              </w:rPr>
              <w:t>3220725.561</w:t>
            </w:r>
          </w:p>
        </w:tc>
        <w:tc>
          <w:tcPr>
            <w:tcW w:w="1204" w:type="pct"/>
            <w:vAlign w:val="center"/>
          </w:tcPr>
          <w:p>
            <w:pPr>
              <w:adjustRightInd w:val="0"/>
              <w:snapToGrid w:val="0"/>
              <w:jc w:val="center"/>
              <w:rPr>
                <w:sz w:val="21"/>
                <w:szCs w:val="21"/>
              </w:rPr>
            </w:pPr>
            <w:r>
              <w:rPr>
                <w:sz w:val="21"/>
                <w:szCs w:val="21"/>
              </w:rPr>
              <w:t>40456766.165</w:t>
            </w:r>
          </w:p>
        </w:tc>
        <w:tc>
          <w:tcPr>
            <w:tcW w:w="1026" w:type="pct"/>
            <w:vAlign w:val="center"/>
          </w:tcPr>
          <w:p>
            <w:pPr>
              <w:adjustRightInd w:val="0"/>
              <w:snapToGrid w:val="0"/>
              <w:jc w:val="center"/>
              <w:rPr>
                <w:sz w:val="21"/>
                <w:szCs w:val="21"/>
              </w:rPr>
            </w:pPr>
            <w:r>
              <w:rPr>
                <w:rFonts w:eastAsia="等线"/>
                <w:sz w:val="21"/>
                <w:szCs w:val="21"/>
              </w:rPr>
              <w:t>119.555861</w:t>
            </w:r>
          </w:p>
        </w:tc>
        <w:tc>
          <w:tcPr>
            <w:tcW w:w="937" w:type="pct"/>
            <w:vAlign w:val="center"/>
          </w:tcPr>
          <w:p>
            <w:pPr>
              <w:adjustRightInd w:val="0"/>
              <w:snapToGrid w:val="0"/>
              <w:jc w:val="center"/>
              <w:rPr>
                <w:sz w:val="21"/>
                <w:szCs w:val="21"/>
              </w:rPr>
            </w:pPr>
            <w:r>
              <w:rPr>
                <w:rFonts w:eastAsia="等线"/>
                <w:sz w:val="21"/>
                <w:szCs w:val="21"/>
              </w:rPr>
              <w:t>29.102626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J67</w:t>
            </w:r>
          </w:p>
        </w:tc>
        <w:tc>
          <w:tcPr>
            <w:tcW w:w="1115" w:type="pct"/>
            <w:vAlign w:val="center"/>
          </w:tcPr>
          <w:p>
            <w:pPr>
              <w:adjustRightInd w:val="0"/>
              <w:snapToGrid w:val="0"/>
              <w:jc w:val="center"/>
              <w:rPr>
                <w:sz w:val="21"/>
                <w:szCs w:val="21"/>
              </w:rPr>
            </w:pPr>
            <w:r>
              <w:rPr>
                <w:sz w:val="21"/>
                <w:szCs w:val="21"/>
              </w:rPr>
              <w:t>3220728.262</w:t>
            </w:r>
          </w:p>
        </w:tc>
        <w:tc>
          <w:tcPr>
            <w:tcW w:w="1204" w:type="pct"/>
            <w:vAlign w:val="center"/>
          </w:tcPr>
          <w:p>
            <w:pPr>
              <w:adjustRightInd w:val="0"/>
              <w:snapToGrid w:val="0"/>
              <w:jc w:val="center"/>
              <w:rPr>
                <w:sz w:val="21"/>
                <w:szCs w:val="21"/>
              </w:rPr>
            </w:pPr>
            <w:r>
              <w:rPr>
                <w:sz w:val="21"/>
                <w:szCs w:val="21"/>
              </w:rPr>
              <w:t>40456767.017</w:t>
            </w:r>
          </w:p>
        </w:tc>
        <w:tc>
          <w:tcPr>
            <w:tcW w:w="1026" w:type="pct"/>
            <w:vAlign w:val="center"/>
          </w:tcPr>
          <w:p>
            <w:pPr>
              <w:adjustRightInd w:val="0"/>
              <w:snapToGrid w:val="0"/>
              <w:jc w:val="center"/>
              <w:rPr>
                <w:sz w:val="21"/>
                <w:szCs w:val="21"/>
              </w:rPr>
            </w:pPr>
            <w:r>
              <w:rPr>
                <w:rFonts w:eastAsia="等线"/>
                <w:sz w:val="21"/>
                <w:szCs w:val="21"/>
              </w:rPr>
              <w:t>119.555870</w:t>
            </w:r>
          </w:p>
        </w:tc>
        <w:tc>
          <w:tcPr>
            <w:tcW w:w="937" w:type="pct"/>
            <w:vAlign w:val="center"/>
          </w:tcPr>
          <w:p>
            <w:pPr>
              <w:adjustRightInd w:val="0"/>
              <w:snapToGrid w:val="0"/>
              <w:jc w:val="center"/>
              <w:rPr>
                <w:sz w:val="21"/>
                <w:szCs w:val="21"/>
              </w:rPr>
            </w:pPr>
            <w:r>
              <w:rPr>
                <w:rFonts w:eastAsia="等线"/>
                <w:sz w:val="21"/>
                <w:szCs w:val="21"/>
              </w:rPr>
              <w:t>29.102651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J68</w:t>
            </w:r>
          </w:p>
        </w:tc>
        <w:tc>
          <w:tcPr>
            <w:tcW w:w="1115" w:type="pct"/>
            <w:vAlign w:val="center"/>
          </w:tcPr>
          <w:p>
            <w:pPr>
              <w:adjustRightInd w:val="0"/>
              <w:snapToGrid w:val="0"/>
              <w:jc w:val="center"/>
              <w:rPr>
                <w:sz w:val="21"/>
                <w:szCs w:val="21"/>
              </w:rPr>
            </w:pPr>
            <w:r>
              <w:rPr>
                <w:sz w:val="21"/>
                <w:szCs w:val="21"/>
              </w:rPr>
              <w:t>3220730.965</w:t>
            </w:r>
          </w:p>
        </w:tc>
        <w:tc>
          <w:tcPr>
            <w:tcW w:w="1204" w:type="pct"/>
            <w:vAlign w:val="center"/>
          </w:tcPr>
          <w:p>
            <w:pPr>
              <w:adjustRightInd w:val="0"/>
              <w:snapToGrid w:val="0"/>
              <w:jc w:val="center"/>
              <w:rPr>
                <w:sz w:val="21"/>
                <w:szCs w:val="21"/>
              </w:rPr>
            </w:pPr>
            <w:r>
              <w:rPr>
                <w:sz w:val="21"/>
                <w:szCs w:val="21"/>
              </w:rPr>
              <w:t>40456767.861</w:t>
            </w:r>
          </w:p>
        </w:tc>
        <w:tc>
          <w:tcPr>
            <w:tcW w:w="1026" w:type="pct"/>
            <w:vAlign w:val="center"/>
          </w:tcPr>
          <w:p>
            <w:pPr>
              <w:adjustRightInd w:val="0"/>
              <w:snapToGrid w:val="0"/>
              <w:jc w:val="center"/>
              <w:rPr>
                <w:sz w:val="21"/>
                <w:szCs w:val="21"/>
              </w:rPr>
            </w:pPr>
            <w:r>
              <w:rPr>
                <w:rFonts w:eastAsia="等线"/>
                <w:sz w:val="21"/>
                <w:szCs w:val="21"/>
              </w:rPr>
              <w:t>119.555878</w:t>
            </w:r>
          </w:p>
        </w:tc>
        <w:tc>
          <w:tcPr>
            <w:tcW w:w="937" w:type="pct"/>
            <w:vAlign w:val="center"/>
          </w:tcPr>
          <w:p>
            <w:pPr>
              <w:adjustRightInd w:val="0"/>
              <w:snapToGrid w:val="0"/>
              <w:jc w:val="center"/>
              <w:rPr>
                <w:sz w:val="21"/>
                <w:szCs w:val="21"/>
              </w:rPr>
            </w:pPr>
            <w:r>
              <w:rPr>
                <w:rFonts w:eastAsia="等线"/>
                <w:sz w:val="21"/>
                <w:szCs w:val="21"/>
              </w:rPr>
              <w:t>29.102675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J69</w:t>
            </w:r>
          </w:p>
        </w:tc>
        <w:tc>
          <w:tcPr>
            <w:tcW w:w="1115" w:type="pct"/>
            <w:vAlign w:val="center"/>
          </w:tcPr>
          <w:p>
            <w:pPr>
              <w:adjustRightInd w:val="0"/>
              <w:snapToGrid w:val="0"/>
              <w:jc w:val="center"/>
              <w:rPr>
                <w:sz w:val="21"/>
                <w:szCs w:val="21"/>
              </w:rPr>
            </w:pPr>
            <w:r>
              <w:rPr>
                <w:sz w:val="21"/>
                <w:szCs w:val="21"/>
              </w:rPr>
              <w:t>3220733.670</w:t>
            </w:r>
          </w:p>
        </w:tc>
        <w:tc>
          <w:tcPr>
            <w:tcW w:w="1204" w:type="pct"/>
            <w:vAlign w:val="center"/>
          </w:tcPr>
          <w:p>
            <w:pPr>
              <w:adjustRightInd w:val="0"/>
              <w:snapToGrid w:val="0"/>
              <w:jc w:val="center"/>
              <w:rPr>
                <w:sz w:val="21"/>
                <w:szCs w:val="21"/>
              </w:rPr>
            </w:pPr>
            <w:r>
              <w:rPr>
                <w:sz w:val="21"/>
                <w:szCs w:val="21"/>
              </w:rPr>
              <w:t>40456768.697</w:t>
            </w:r>
          </w:p>
        </w:tc>
        <w:tc>
          <w:tcPr>
            <w:tcW w:w="1026" w:type="pct"/>
            <w:vAlign w:val="center"/>
          </w:tcPr>
          <w:p>
            <w:pPr>
              <w:adjustRightInd w:val="0"/>
              <w:snapToGrid w:val="0"/>
              <w:jc w:val="center"/>
              <w:rPr>
                <w:sz w:val="21"/>
                <w:szCs w:val="21"/>
              </w:rPr>
            </w:pPr>
            <w:r>
              <w:rPr>
                <w:rFonts w:eastAsia="等线"/>
                <w:sz w:val="21"/>
                <w:szCs w:val="21"/>
              </w:rPr>
              <w:t>119.555887</w:t>
            </w:r>
          </w:p>
        </w:tc>
        <w:tc>
          <w:tcPr>
            <w:tcW w:w="937" w:type="pct"/>
            <w:vAlign w:val="center"/>
          </w:tcPr>
          <w:p>
            <w:pPr>
              <w:adjustRightInd w:val="0"/>
              <w:snapToGrid w:val="0"/>
              <w:jc w:val="center"/>
              <w:rPr>
                <w:sz w:val="21"/>
                <w:szCs w:val="21"/>
              </w:rPr>
            </w:pPr>
            <w:r>
              <w:rPr>
                <w:rFonts w:eastAsia="等线"/>
                <w:sz w:val="21"/>
                <w:szCs w:val="21"/>
              </w:rPr>
              <w:t>29.102699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J70</w:t>
            </w:r>
          </w:p>
        </w:tc>
        <w:tc>
          <w:tcPr>
            <w:tcW w:w="1115" w:type="pct"/>
            <w:vAlign w:val="center"/>
          </w:tcPr>
          <w:p>
            <w:pPr>
              <w:adjustRightInd w:val="0"/>
              <w:snapToGrid w:val="0"/>
              <w:jc w:val="center"/>
              <w:rPr>
                <w:sz w:val="21"/>
                <w:szCs w:val="21"/>
              </w:rPr>
            </w:pPr>
            <w:r>
              <w:rPr>
                <w:sz w:val="21"/>
                <w:szCs w:val="21"/>
              </w:rPr>
              <w:t>3220736.378</w:t>
            </w:r>
          </w:p>
        </w:tc>
        <w:tc>
          <w:tcPr>
            <w:tcW w:w="1204" w:type="pct"/>
            <w:vAlign w:val="center"/>
          </w:tcPr>
          <w:p>
            <w:pPr>
              <w:adjustRightInd w:val="0"/>
              <w:snapToGrid w:val="0"/>
              <w:jc w:val="center"/>
              <w:rPr>
                <w:sz w:val="21"/>
                <w:szCs w:val="21"/>
              </w:rPr>
            </w:pPr>
            <w:r>
              <w:rPr>
                <w:sz w:val="21"/>
                <w:szCs w:val="21"/>
              </w:rPr>
              <w:t>40456769.527</w:t>
            </w:r>
          </w:p>
        </w:tc>
        <w:tc>
          <w:tcPr>
            <w:tcW w:w="1026" w:type="pct"/>
            <w:vAlign w:val="center"/>
          </w:tcPr>
          <w:p>
            <w:pPr>
              <w:adjustRightInd w:val="0"/>
              <w:snapToGrid w:val="0"/>
              <w:jc w:val="center"/>
              <w:rPr>
                <w:sz w:val="21"/>
                <w:szCs w:val="21"/>
              </w:rPr>
            </w:pPr>
            <w:r>
              <w:rPr>
                <w:rFonts w:eastAsia="等线"/>
                <w:sz w:val="21"/>
                <w:szCs w:val="21"/>
              </w:rPr>
              <w:t>119.555895</w:t>
            </w:r>
          </w:p>
        </w:tc>
        <w:tc>
          <w:tcPr>
            <w:tcW w:w="937" w:type="pct"/>
            <w:vAlign w:val="center"/>
          </w:tcPr>
          <w:p>
            <w:pPr>
              <w:adjustRightInd w:val="0"/>
              <w:snapToGrid w:val="0"/>
              <w:jc w:val="center"/>
              <w:rPr>
                <w:sz w:val="21"/>
                <w:szCs w:val="21"/>
              </w:rPr>
            </w:pPr>
            <w:r>
              <w:rPr>
                <w:rFonts w:eastAsia="等线"/>
                <w:sz w:val="21"/>
                <w:szCs w:val="21"/>
              </w:rPr>
              <w:t>29.102724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J71</w:t>
            </w:r>
          </w:p>
        </w:tc>
        <w:tc>
          <w:tcPr>
            <w:tcW w:w="1115" w:type="pct"/>
            <w:vAlign w:val="center"/>
          </w:tcPr>
          <w:p>
            <w:pPr>
              <w:adjustRightInd w:val="0"/>
              <w:snapToGrid w:val="0"/>
              <w:jc w:val="center"/>
              <w:rPr>
                <w:sz w:val="21"/>
                <w:szCs w:val="21"/>
              </w:rPr>
            </w:pPr>
            <w:r>
              <w:rPr>
                <w:sz w:val="21"/>
                <w:szCs w:val="21"/>
              </w:rPr>
              <w:t>3220737.091</w:t>
            </w:r>
          </w:p>
        </w:tc>
        <w:tc>
          <w:tcPr>
            <w:tcW w:w="1204" w:type="pct"/>
            <w:vAlign w:val="center"/>
          </w:tcPr>
          <w:p>
            <w:pPr>
              <w:adjustRightInd w:val="0"/>
              <w:snapToGrid w:val="0"/>
              <w:jc w:val="center"/>
              <w:rPr>
                <w:sz w:val="21"/>
                <w:szCs w:val="21"/>
              </w:rPr>
            </w:pPr>
            <w:r>
              <w:rPr>
                <w:sz w:val="21"/>
                <w:szCs w:val="21"/>
              </w:rPr>
              <w:t>40456769.743</w:t>
            </w:r>
          </w:p>
        </w:tc>
        <w:tc>
          <w:tcPr>
            <w:tcW w:w="1026" w:type="pct"/>
            <w:vAlign w:val="center"/>
          </w:tcPr>
          <w:p>
            <w:pPr>
              <w:adjustRightInd w:val="0"/>
              <w:snapToGrid w:val="0"/>
              <w:jc w:val="center"/>
              <w:rPr>
                <w:sz w:val="21"/>
                <w:szCs w:val="21"/>
              </w:rPr>
            </w:pPr>
            <w:r>
              <w:rPr>
                <w:rFonts w:eastAsia="等线"/>
                <w:sz w:val="21"/>
                <w:szCs w:val="21"/>
              </w:rPr>
              <w:t>119.555897</w:t>
            </w:r>
          </w:p>
        </w:tc>
        <w:tc>
          <w:tcPr>
            <w:tcW w:w="937" w:type="pct"/>
            <w:vAlign w:val="center"/>
          </w:tcPr>
          <w:p>
            <w:pPr>
              <w:adjustRightInd w:val="0"/>
              <w:snapToGrid w:val="0"/>
              <w:jc w:val="center"/>
              <w:rPr>
                <w:sz w:val="21"/>
                <w:szCs w:val="21"/>
              </w:rPr>
            </w:pPr>
            <w:r>
              <w:rPr>
                <w:rFonts w:eastAsia="等线"/>
                <w:sz w:val="21"/>
                <w:szCs w:val="21"/>
              </w:rPr>
              <w:t>29.102730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J72</w:t>
            </w:r>
          </w:p>
        </w:tc>
        <w:tc>
          <w:tcPr>
            <w:tcW w:w="1115" w:type="pct"/>
            <w:vAlign w:val="center"/>
          </w:tcPr>
          <w:p>
            <w:pPr>
              <w:adjustRightInd w:val="0"/>
              <w:snapToGrid w:val="0"/>
              <w:jc w:val="center"/>
              <w:rPr>
                <w:sz w:val="21"/>
                <w:szCs w:val="21"/>
              </w:rPr>
            </w:pPr>
            <w:r>
              <w:rPr>
                <w:sz w:val="21"/>
                <w:szCs w:val="21"/>
              </w:rPr>
              <w:t>3220737.152</w:t>
            </w:r>
          </w:p>
        </w:tc>
        <w:tc>
          <w:tcPr>
            <w:tcW w:w="1204" w:type="pct"/>
            <w:vAlign w:val="center"/>
          </w:tcPr>
          <w:p>
            <w:pPr>
              <w:adjustRightInd w:val="0"/>
              <w:snapToGrid w:val="0"/>
              <w:jc w:val="center"/>
              <w:rPr>
                <w:sz w:val="21"/>
                <w:szCs w:val="21"/>
              </w:rPr>
            </w:pPr>
            <w:r>
              <w:rPr>
                <w:sz w:val="21"/>
                <w:szCs w:val="21"/>
              </w:rPr>
              <w:t>40456769.762</w:t>
            </w:r>
          </w:p>
        </w:tc>
        <w:tc>
          <w:tcPr>
            <w:tcW w:w="1026" w:type="pct"/>
            <w:vAlign w:val="center"/>
          </w:tcPr>
          <w:p>
            <w:pPr>
              <w:adjustRightInd w:val="0"/>
              <w:snapToGrid w:val="0"/>
              <w:jc w:val="center"/>
              <w:rPr>
                <w:sz w:val="21"/>
                <w:szCs w:val="21"/>
              </w:rPr>
            </w:pPr>
            <w:r>
              <w:rPr>
                <w:rFonts w:eastAsia="等线"/>
                <w:sz w:val="21"/>
                <w:szCs w:val="21"/>
              </w:rPr>
              <w:t>119.555897</w:t>
            </w:r>
          </w:p>
        </w:tc>
        <w:tc>
          <w:tcPr>
            <w:tcW w:w="937" w:type="pct"/>
            <w:vAlign w:val="center"/>
          </w:tcPr>
          <w:p>
            <w:pPr>
              <w:adjustRightInd w:val="0"/>
              <w:snapToGrid w:val="0"/>
              <w:jc w:val="center"/>
              <w:rPr>
                <w:sz w:val="21"/>
                <w:szCs w:val="21"/>
              </w:rPr>
            </w:pPr>
            <w:r>
              <w:rPr>
                <w:rFonts w:eastAsia="等线"/>
                <w:sz w:val="21"/>
                <w:szCs w:val="21"/>
              </w:rPr>
              <w:t>29.102731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J73</w:t>
            </w:r>
          </w:p>
        </w:tc>
        <w:tc>
          <w:tcPr>
            <w:tcW w:w="1115" w:type="pct"/>
            <w:vAlign w:val="center"/>
          </w:tcPr>
          <w:p>
            <w:pPr>
              <w:adjustRightInd w:val="0"/>
              <w:snapToGrid w:val="0"/>
              <w:jc w:val="center"/>
              <w:rPr>
                <w:sz w:val="21"/>
                <w:szCs w:val="21"/>
              </w:rPr>
            </w:pPr>
            <w:r>
              <w:rPr>
                <w:sz w:val="21"/>
                <w:szCs w:val="21"/>
              </w:rPr>
              <w:t>3220739.088</w:t>
            </w:r>
          </w:p>
        </w:tc>
        <w:tc>
          <w:tcPr>
            <w:tcW w:w="1204" w:type="pct"/>
            <w:vAlign w:val="center"/>
          </w:tcPr>
          <w:p>
            <w:pPr>
              <w:adjustRightInd w:val="0"/>
              <w:snapToGrid w:val="0"/>
              <w:jc w:val="center"/>
              <w:rPr>
                <w:sz w:val="21"/>
                <w:szCs w:val="21"/>
              </w:rPr>
            </w:pPr>
            <w:r>
              <w:rPr>
                <w:sz w:val="21"/>
                <w:szCs w:val="21"/>
              </w:rPr>
              <w:t>40456770.348</w:t>
            </w:r>
          </w:p>
        </w:tc>
        <w:tc>
          <w:tcPr>
            <w:tcW w:w="1026" w:type="pct"/>
            <w:vAlign w:val="center"/>
          </w:tcPr>
          <w:p>
            <w:pPr>
              <w:adjustRightInd w:val="0"/>
              <w:snapToGrid w:val="0"/>
              <w:jc w:val="center"/>
              <w:rPr>
                <w:sz w:val="21"/>
                <w:szCs w:val="21"/>
              </w:rPr>
            </w:pPr>
            <w:r>
              <w:rPr>
                <w:rFonts w:eastAsia="等线"/>
                <w:sz w:val="21"/>
                <w:szCs w:val="21"/>
              </w:rPr>
              <w:t>119.555903</w:t>
            </w:r>
          </w:p>
        </w:tc>
        <w:tc>
          <w:tcPr>
            <w:tcW w:w="937" w:type="pct"/>
            <w:vAlign w:val="center"/>
          </w:tcPr>
          <w:p>
            <w:pPr>
              <w:adjustRightInd w:val="0"/>
              <w:snapToGrid w:val="0"/>
              <w:jc w:val="center"/>
              <w:rPr>
                <w:sz w:val="21"/>
                <w:szCs w:val="21"/>
              </w:rPr>
            </w:pPr>
            <w:r>
              <w:rPr>
                <w:rFonts w:eastAsia="等线"/>
                <w:sz w:val="21"/>
                <w:szCs w:val="21"/>
              </w:rPr>
              <w:t>29.102748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J74</w:t>
            </w:r>
          </w:p>
        </w:tc>
        <w:tc>
          <w:tcPr>
            <w:tcW w:w="1115" w:type="pct"/>
            <w:vAlign w:val="center"/>
          </w:tcPr>
          <w:p>
            <w:pPr>
              <w:adjustRightInd w:val="0"/>
              <w:snapToGrid w:val="0"/>
              <w:jc w:val="center"/>
              <w:rPr>
                <w:sz w:val="21"/>
                <w:szCs w:val="21"/>
              </w:rPr>
            </w:pPr>
            <w:r>
              <w:rPr>
                <w:sz w:val="21"/>
                <w:szCs w:val="21"/>
              </w:rPr>
              <w:t>3220741.800</w:t>
            </w:r>
          </w:p>
        </w:tc>
        <w:tc>
          <w:tcPr>
            <w:tcW w:w="1204" w:type="pct"/>
            <w:vAlign w:val="center"/>
          </w:tcPr>
          <w:p>
            <w:pPr>
              <w:adjustRightInd w:val="0"/>
              <w:snapToGrid w:val="0"/>
              <w:jc w:val="center"/>
              <w:rPr>
                <w:sz w:val="21"/>
                <w:szCs w:val="21"/>
              </w:rPr>
            </w:pPr>
            <w:r>
              <w:rPr>
                <w:sz w:val="21"/>
                <w:szCs w:val="21"/>
              </w:rPr>
              <w:t>40456771.162</w:t>
            </w:r>
          </w:p>
        </w:tc>
        <w:tc>
          <w:tcPr>
            <w:tcW w:w="1026" w:type="pct"/>
            <w:vAlign w:val="center"/>
          </w:tcPr>
          <w:p>
            <w:pPr>
              <w:adjustRightInd w:val="0"/>
              <w:snapToGrid w:val="0"/>
              <w:jc w:val="center"/>
              <w:rPr>
                <w:sz w:val="21"/>
                <w:szCs w:val="21"/>
              </w:rPr>
            </w:pPr>
            <w:r>
              <w:rPr>
                <w:rFonts w:eastAsia="等线"/>
                <w:sz w:val="21"/>
                <w:szCs w:val="21"/>
              </w:rPr>
              <w:t>119.555912</w:t>
            </w:r>
          </w:p>
        </w:tc>
        <w:tc>
          <w:tcPr>
            <w:tcW w:w="937" w:type="pct"/>
            <w:vAlign w:val="center"/>
          </w:tcPr>
          <w:p>
            <w:pPr>
              <w:adjustRightInd w:val="0"/>
              <w:snapToGrid w:val="0"/>
              <w:jc w:val="center"/>
              <w:rPr>
                <w:sz w:val="21"/>
                <w:szCs w:val="21"/>
              </w:rPr>
            </w:pPr>
            <w:r>
              <w:rPr>
                <w:rFonts w:eastAsia="等线"/>
                <w:sz w:val="21"/>
                <w:szCs w:val="21"/>
              </w:rPr>
              <w:t>29.102773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J75</w:t>
            </w:r>
          </w:p>
        </w:tc>
        <w:tc>
          <w:tcPr>
            <w:tcW w:w="1115" w:type="pct"/>
            <w:vAlign w:val="center"/>
          </w:tcPr>
          <w:p>
            <w:pPr>
              <w:adjustRightInd w:val="0"/>
              <w:snapToGrid w:val="0"/>
              <w:jc w:val="center"/>
              <w:rPr>
                <w:sz w:val="21"/>
                <w:szCs w:val="21"/>
              </w:rPr>
            </w:pPr>
            <w:r>
              <w:rPr>
                <w:sz w:val="21"/>
                <w:szCs w:val="21"/>
              </w:rPr>
              <w:t>3220744.515</w:t>
            </w:r>
          </w:p>
        </w:tc>
        <w:tc>
          <w:tcPr>
            <w:tcW w:w="1204" w:type="pct"/>
            <w:vAlign w:val="center"/>
          </w:tcPr>
          <w:p>
            <w:pPr>
              <w:adjustRightInd w:val="0"/>
              <w:snapToGrid w:val="0"/>
              <w:jc w:val="center"/>
              <w:rPr>
                <w:sz w:val="21"/>
                <w:szCs w:val="21"/>
              </w:rPr>
            </w:pPr>
            <w:r>
              <w:rPr>
                <w:sz w:val="21"/>
                <w:szCs w:val="21"/>
              </w:rPr>
              <w:t>40456771.968</w:t>
            </w:r>
          </w:p>
        </w:tc>
        <w:tc>
          <w:tcPr>
            <w:tcW w:w="1026" w:type="pct"/>
            <w:vAlign w:val="center"/>
          </w:tcPr>
          <w:p>
            <w:pPr>
              <w:adjustRightInd w:val="0"/>
              <w:snapToGrid w:val="0"/>
              <w:jc w:val="center"/>
              <w:rPr>
                <w:sz w:val="21"/>
                <w:szCs w:val="21"/>
              </w:rPr>
            </w:pPr>
            <w:r>
              <w:rPr>
                <w:rFonts w:eastAsia="等线"/>
                <w:sz w:val="21"/>
                <w:szCs w:val="21"/>
              </w:rPr>
              <w:t>119.555920</w:t>
            </w:r>
          </w:p>
        </w:tc>
        <w:tc>
          <w:tcPr>
            <w:tcW w:w="937" w:type="pct"/>
            <w:vAlign w:val="center"/>
          </w:tcPr>
          <w:p>
            <w:pPr>
              <w:adjustRightInd w:val="0"/>
              <w:snapToGrid w:val="0"/>
              <w:jc w:val="center"/>
              <w:rPr>
                <w:sz w:val="21"/>
                <w:szCs w:val="21"/>
              </w:rPr>
            </w:pPr>
            <w:r>
              <w:rPr>
                <w:rFonts w:eastAsia="等线"/>
                <w:sz w:val="21"/>
                <w:szCs w:val="21"/>
              </w:rPr>
              <w:t>29.102797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J76</w:t>
            </w:r>
          </w:p>
        </w:tc>
        <w:tc>
          <w:tcPr>
            <w:tcW w:w="1115" w:type="pct"/>
            <w:vAlign w:val="center"/>
          </w:tcPr>
          <w:p>
            <w:pPr>
              <w:adjustRightInd w:val="0"/>
              <w:snapToGrid w:val="0"/>
              <w:jc w:val="center"/>
              <w:rPr>
                <w:sz w:val="21"/>
                <w:szCs w:val="21"/>
              </w:rPr>
            </w:pPr>
            <w:r>
              <w:rPr>
                <w:sz w:val="21"/>
                <w:szCs w:val="21"/>
              </w:rPr>
              <w:t>3220747.232</w:t>
            </w:r>
          </w:p>
        </w:tc>
        <w:tc>
          <w:tcPr>
            <w:tcW w:w="1204" w:type="pct"/>
            <w:vAlign w:val="center"/>
          </w:tcPr>
          <w:p>
            <w:pPr>
              <w:adjustRightInd w:val="0"/>
              <w:snapToGrid w:val="0"/>
              <w:jc w:val="center"/>
              <w:rPr>
                <w:sz w:val="21"/>
                <w:szCs w:val="21"/>
              </w:rPr>
            </w:pPr>
            <w:r>
              <w:rPr>
                <w:sz w:val="21"/>
                <w:szCs w:val="21"/>
              </w:rPr>
              <w:t>40456772.767</w:t>
            </w:r>
          </w:p>
        </w:tc>
        <w:tc>
          <w:tcPr>
            <w:tcW w:w="1026" w:type="pct"/>
            <w:vAlign w:val="center"/>
          </w:tcPr>
          <w:p>
            <w:pPr>
              <w:adjustRightInd w:val="0"/>
              <w:snapToGrid w:val="0"/>
              <w:jc w:val="center"/>
              <w:rPr>
                <w:sz w:val="21"/>
                <w:szCs w:val="21"/>
              </w:rPr>
            </w:pPr>
            <w:r>
              <w:rPr>
                <w:rFonts w:eastAsia="等线"/>
                <w:sz w:val="21"/>
                <w:szCs w:val="21"/>
              </w:rPr>
              <w:t>119.555928</w:t>
            </w:r>
          </w:p>
        </w:tc>
        <w:tc>
          <w:tcPr>
            <w:tcW w:w="937" w:type="pct"/>
            <w:vAlign w:val="center"/>
          </w:tcPr>
          <w:p>
            <w:pPr>
              <w:adjustRightInd w:val="0"/>
              <w:snapToGrid w:val="0"/>
              <w:jc w:val="center"/>
              <w:rPr>
                <w:sz w:val="21"/>
                <w:szCs w:val="21"/>
              </w:rPr>
            </w:pPr>
            <w:r>
              <w:rPr>
                <w:rFonts w:eastAsia="等线"/>
                <w:sz w:val="21"/>
                <w:szCs w:val="21"/>
              </w:rPr>
              <w:t>29.102822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J77</w:t>
            </w:r>
          </w:p>
        </w:tc>
        <w:tc>
          <w:tcPr>
            <w:tcW w:w="1115" w:type="pct"/>
            <w:vAlign w:val="center"/>
          </w:tcPr>
          <w:p>
            <w:pPr>
              <w:adjustRightInd w:val="0"/>
              <w:snapToGrid w:val="0"/>
              <w:jc w:val="center"/>
              <w:rPr>
                <w:sz w:val="21"/>
                <w:szCs w:val="21"/>
              </w:rPr>
            </w:pPr>
            <w:r>
              <w:rPr>
                <w:sz w:val="21"/>
                <w:szCs w:val="21"/>
              </w:rPr>
              <w:t>3220749.951</w:t>
            </w:r>
          </w:p>
        </w:tc>
        <w:tc>
          <w:tcPr>
            <w:tcW w:w="1204" w:type="pct"/>
            <w:vAlign w:val="center"/>
          </w:tcPr>
          <w:p>
            <w:pPr>
              <w:adjustRightInd w:val="0"/>
              <w:snapToGrid w:val="0"/>
              <w:jc w:val="center"/>
              <w:rPr>
                <w:sz w:val="21"/>
                <w:szCs w:val="21"/>
              </w:rPr>
            </w:pPr>
            <w:r>
              <w:rPr>
                <w:sz w:val="21"/>
                <w:szCs w:val="21"/>
              </w:rPr>
              <w:t>40456773.558</w:t>
            </w:r>
          </w:p>
        </w:tc>
        <w:tc>
          <w:tcPr>
            <w:tcW w:w="1026" w:type="pct"/>
            <w:vAlign w:val="center"/>
          </w:tcPr>
          <w:p>
            <w:pPr>
              <w:adjustRightInd w:val="0"/>
              <w:snapToGrid w:val="0"/>
              <w:jc w:val="center"/>
              <w:rPr>
                <w:sz w:val="21"/>
                <w:szCs w:val="21"/>
              </w:rPr>
            </w:pPr>
            <w:r>
              <w:rPr>
                <w:rFonts w:eastAsia="等线"/>
                <w:sz w:val="21"/>
                <w:szCs w:val="21"/>
              </w:rPr>
              <w:t>119.555936</w:t>
            </w:r>
          </w:p>
        </w:tc>
        <w:tc>
          <w:tcPr>
            <w:tcW w:w="937" w:type="pct"/>
            <w:vAlign w:val="center"/>
          </w:tcPr>
          <w:p>
            <w:pPr>
              <w:adjustRightInd w:val="0"/>
              <w:snapToGrid w:val="0"/>
              <w:jc w:val="center"/>
              <w:rPr>
                <w:sz w:val="21"/>
                <w:szCs w:val="21"/>
              </w:rPr>
            </w:pPr>
            <w:r>
              <w:rPr>
                <w:rFonts w:eastAsia="等线"/>
                <w:sz w:val="21"/>
                <w:szCs w:val="21"/>
              </w:rPr>
              <w:t>29.102846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J78</w:t>
            </w:r>
          </w:p>
        </w:tc>
        <w:tc>
          <w:tcPr>
            <w:tcW w:w="1115" w:type="pct"/>
            <w:vAlign w:val="center"/>
          </w:tcPr>
          <w:p>
            <w:pPr>
              <w:adjustRightInd w:val="0"/>
              <w:snapToGrid w:val="0"/>
              <w:jc w:val="center"/>
              <w:rPr>
                <w:sz w:val="21"/>
                <w:szCs w:val="21"/>
              </w:rPr>
            </w:pPr>
            <w:r>
              <w:rPr>
                <w:sz w:val="21"/>
                <w:szCs w:val="21"/>
              </w:rPr>
              <w:t>3220752.672</w:t>
            </w:r>
          </w:p>
        </w:tc>
        <w:tc>
          <w:tcPr>
            <w:tcW w:w="1204" w:type="pct"/>
            <w:vAlign w:val="center"/>
          </w:tcPr>
          <w:p>
            <w:pPr>
              <w:adjustRightInd w:val="0"/>
              <w:snapToGrid w:val="0"/>
              <w:jc w:val="center"/>
              <w:rPr>
                <w:sz w:val="21"/>
                <w:szCs w:val="21"/>
              </w:rPr>
            </w:pPr>
            <w:r>
              <w:rPr>
                <w:sz w:val="21"/>
                <w:szCs w:val="21"/>
              </w:rPr>
              <w:t>40456774.342</w:t>
            </w:r>
          </w:p>
        </w:tc>
        <w:tc>
          <w:tcPr>
            <w:tcW w:w="1026" w:type="pct"/>
            <w:vAlign w:val="center"/>
          </w:tcPr>
          <w:p>
            <w:pPr>
              <w:adjustRightInd w:val="0"/>
              <w:snapToGrid w:val="0"/>
              <w:jc w:val="center"/>
              <w:rPr>
                <w:sz w:val="21"/>
                <w:szCs w:val="21"/>
              </w:rPr>
            </w:pPr>
            <w:r>
              <w:rPr>
                <w:rFonts w:eastAsia="等线"/>
                <w:sz w:val="21"/>
                <w:szCs w:val="21"/>
              </w:rPr>
              <w:t>119.555944</w:t>
            </w:r>
          </w:p>
        </w:tc>
        <w:tc>
          <w:tcPr>
            <w:tcW w:w="937" w:type="pct"/>
            <w:vAlign w:val="center"/>
          </w:tcPr>
          <w:p>
            <w:pPr>
              <w:adjustRightInd w:val="0"/>
              <w:snapToGrid w:val="0"/>
              <w:jc w:val="center"/>
              <w:rPr>
                <w:sz w:val="21"/>
                <w:szCs w:val="21"/>
              </w:rPr>
            </w:pPr>
            <w:r>
              <w:rPr>
                <w:rFonts w:eastAsia="等线"/>
                <w:sz w:val="21"/>
                <w:szCs w:val="21"/>
              </w:rPr>
              <w:t>29.102871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J79</w:t>
            </w:r>
          </w:p>
        </w:tc>
        <w:tc>
          <w:tcPr>
            <w:tcW w:w="1115" w:type="pct"/>
            <w:vAlign w:val="center"/>
          </w:tcPr>
          <w:p>
            <w:pPr>
              <w:adjustRightInd w:val="0"/>
              <w:snapToGrid w:val="0"/>
              <w:jc w:val="center"/>
              <w:rPr>
                <w:sz w:val="21"/>
                <w:szCs w:val="21"/>
              </w:rPr>
            </w:pPr>
            <w:r>
              <w:rPr>
                <w:sz w:val="21"/>
                <w:szCs w:val="21"/>
              </w:rPr>
              <w:t>3220755.395</w:t>
            </w:r>
          </w:p>
        </w:tc>
        <w:tc>
          <w:tcPr>
            <w:tcW w:w="1204" w:type="pct"/>
            <w:vAlign w:val="center"/>
          </w:tcPr>
          <w:p>
            <w:pPr>
              <w:adjustRightInd w:val="0"/>
              <w:snapToGrid w:val="0"/>
              <w:jc w:val="center"/>
              <w:rPr>
                <w:sz w:val="21"/>
                <w:szCs w:val="21"/>
              </w:rPr>
            </w:pPr>
            <w:r>
              <w:rPr>
                <w:sz w:val="21"/>
                <w:szCs w:val="21"/>
              </w:rPr>
              <w:t>40456775.118</w:t>
            </w:r>
          </w:p>
        </w:tc>
        <w:tc>
          <w:tcPr>
            <w:tcW w:w="1026" w:type="pct"/>
            <w:vAlign w:val="center"/>
          </w:tcPr>
          <w:p>
            <w:pPr>
              <w:adjustRightInd w:val="0"/>
              <w:snapToGrid w:val="0"/>
              <w:jc w:val="center"/>
              <w:rPr>
                <w:sz w:val="21"/>
                <w:szCs w:val="21"/>
              </w:rPr>
            </w:pPr>
            <w:r>
              <w:rPr>
                <w:rFonts w:eastAsia="等线"/>
                <w:sz w:val="21"/>
                <w:szCs w:val="21"/>
              </w:rPr>
              <w:t>119.555952</w:t>
            </w:r>
          </w:p>
        </w:tc>
        <w:tc>
          <w:tcPr>
            <w:tcW w:w="937" w:type="pct"/>
            <w:vAlign w:val="center"/>
          </w:tcPr>
          <w:p>
            <w:pPr>
              <w:adjustRightInd w:val="0"/>
              <w:snapToGrid w:val="0"/>
              <w:jc w:val="center"/>
              <w:rPr>
                <w:sz w:val="21"/>
                <w:szCs w:val="21"/>
              </w:rPr>
            </w:pPr>
            <w:r>
              <w:rPr>
                <w:rFonts w:eastAsia="等线"/>
                <w:sz w:val="21"/>
                <w:szCs w:val="21"/>
              </w:rPr>
              <w:t>29.102896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J80</w:t>
            </w:r>
          </w:p>
        </w:tc>
        <w:tc>
          <w:tcPr>
            <w:tcW w:w="1115" w:type="pct"/>
            <w:vAlign w:val="center"/>
          </w:tcPr>
          <w:p>
            <w:pPr>
              <w:adjustRightInd w:val="0"/>
              <w:snapToGrid w:val="0"/>
              <w:jc w:val="center"/>
              <w:rPr>
                <w:sz w:val="21"/>
                <w:szCs w:val="21"/>
              </w:rPr>
            </w:pPr>
            <w:r>
              <w:rPr>
                <w:sz w:val="21"/>
                <w:szCs w:val="21"/>
              </w:rPr>
              <w:t>3220758.121</w:t>
            </w:r>
          </w:p>
        </w:tc>
        <w:tc>
          <w:tcPr>
            <w:tcW w:w="1204" w:type="pct"/>
            <w:vAlign w:val="center"/>
          </w:tcPr>
          <w:p>
            <w:pPr>
              <w:adjustRightInd w:val="0"/>
              <w:snapToGrid w:val="0"/>
              <w:jc w:val="center"/>
              <w:rPr>
                <w:sz w:val="21"/>
                <w:szCs w:val="21"/>
              </w:rPr>
            </w:pPr>
            <w:r>
              <w:rPr>
                <w:sz w:val="21"/>
                <w:szCs w:val="21"/>
              </w:rPr>
              <w:t>40456775.886</w:t>
            </w:r>
          </w:p>
        </w:tc>
        <w:tc>
          <w:tcPr>
            <w:tcW w:w="1026" w:type="pct"/>
            <w:vAlign w:val="center"/>
          </w:tcPr>
          <w:p>
            <w:pPr>
              <w:adjustRightInd w:val="0"/>
              <w:snapToGrid w:val="0"/>
              <w:jc w:val="center"/>
              <w:rPr>
                <w:sz w:val="21"/>
                <w:szCs w:val="21"/>
              </w:rPr>
            </w:pPr>
            <w:r>
              <w:rPr>
                <w:rFonts w:eastAsia="等线"/>
                <w:sz w:val="21"/>
                <w:szCs w:val="21"/>
              </w:rPr>
              <w:t>119.555960</w:t>
            </w:r>
          </w:p>
        </w:tc>
        <w:tc>
          <w:tcPr>
            <w:tcW w:w="937" w:type="pct"/>
            <w:vAlign w:val="center"/>
          </w:tcPr>
          <w:p>
            <w:pPr>
              <w:adjustRightInd w:val="0"/>
              <w:snapToGrid w:val="0"/>
              <w:jc w:val="center"/>
              <w:rPr>
                <w:sz w:val="21"/>
                <w:szCs w:val="21"/>
              </w:rPr>
            </w:pPr>
            <w:r>
              <w:rPr>
                <w:rFonts w:eastAsia="等线"/>
                <w:sz w:val="21"/>
                <w:szCs w:val="21"/>
              </w:rPr>
              <w:t>29.102920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18" w:type="pct"/>
            <w:vAlign w:val="center"/>
          </w:tcPr>
          <w:p>
            <w:pPr>
              <w:adjustRightInd w:val="0"/>
              <w:snapToGrid w:val="0"/>
              <w:jc w:val="center"/>
              <w:rPr>
                <w:sz w:val="21"/>
                <w:szCs w:val="21"/>
              </w:rPr>
            </w:pPr>
            <w:r>
              <w:rPr>
                <w:sz w:val="21"/>
                <w:szCs w:val="21"/>
              </w:rPr>
              <w:t>J81</w:t>
            </w:r>
          </w:p>
        </w:tc>
        <w:tc>
          <w:tcPr>
            <w:tcW w:w="1115" w:type="pct"/>
            <w:vAlign w:val="center"/>
          </w:tcPr>
          <w:p>
            <w:pPr>
              <w:adjustRightInd w:val="0"/>
              <w:snapToGrid w:val="0"/>
              <w:jc w:val="center"/>
              <w:rPr>
                <w:sz w:val="21"/>
                <w:szCs w:val="21"/>
              </w:rPr>
            </w:pPr>
            <w:r>
              <w:rPr>
                <w:sz w:val="21"/>
                <w:szCs w:val="21"/>
              </w:rPr>
              <w:t>3220760.849</w:t>
            </w:r>
          </w:p>
        </w:tc>
        <w:tc>
          <w:tcPr>
            <w:tcW w:w="1204" w:type="pct"/>
            <w:vAlign w:val="center"/>
          </w:tcPr>
          <w:p>
            <w:pPr>
              <w:adjustRightInd w:val="0"/>
              <w:snapToGrid w:val="0"/>
              <w:jc w:val="center"/>
              <w:rPr>
                <w:sz w:val="21"/>
                <w:szCs w:val="21"/>
              </w:rPr>
            </w:pPr>
            <w:r>
              <w:rPr>
                <w:sz w:val="21"/>
                <w:szCs w:val="21"/>
              </w:rPr>
              <w:t>40456776.647</w:t>
            </w:r>
          </w:p>
        </w:tc>
        <w:tc>
          <w:tcPr>
            <w:tcW w:w="1026" w:type="pct"/>
            <w:vAlign w:val="center"/>
          </w:tcPr>
          <w:p>
            <w:pPr>
              <w:adjustRightInd w:val="0"/>
              <w:snapToGrid w:val="0"/>
              <w:jc w:val="center"/>
              <w:rPr>
                <w:sz w:val="21"/>
                <w:szCs w:val="21"/>
              </w:rPr>
            </w:pPr>
            <w:r>
              <w:rPr>
                <w:rFonts w:eastAsia="等线"/>
                <w:sz w:val="21"/>
                <w:szCs w:val="21"/>
              </w:rPr>
              <w:t>119.555967</w:t>
            </w:r>
          </w:p>
        </w:tc>
        <w:tc>
          <w:tcPr>
            <w:tcW w:w="937" w:type="pct"/>
            <w:vAlign w:val="center"/>
          </w:tcPr>
          <w:p>
            <w:pPr>
              <w:adjustRightInd w:val="0"/>
              <w:snapToGrid w:val="0"/>
              <w:jc w:val="center"/>
              <w:rPr>
                <w:sz w:val="21"/>
                <w:szCs w:val="21"/>
              </w:rPr>
            </w:pPr>
            <w:r>
              <w:rPr>
                <w:rFonts w:eastAsia="等线"/>
                <w:sz w:val="21"/>
                <w:szCs w:val="21"/>
              </w:rPr>
              <w:t>29.102945</w:t>
            </w:r>
          </w:p>
        </w:tc>
      </w:tr>
    </w:tbl>
    <w:p>
      <w:pPr>
        <w:pStyle w:val="116"/>
        <w:rPr>
          <w:rFonts w:ascii="Times New Roman" w:hAnsi="Times New Roman" w:eastAsia="宋体"/>
          <w:szCs w:val="28"/>
        </w:rPr>
      </w:pPr>
      <w:bookmarkStart w:id="13" w:name="_Toc149641959"/>
      <w:r>
        <w:rPr>
          <w:rFonts w:ascii="Times New Roman" w:hAnsi="Times New Roman" w:eastAsia="宋体"/>
          <w:szCs w:val="28"/>
        </w:rPr>
        <w:t>2.4 调查依据</w:t>
      </w:r>
      <w:bookmarkEnd w:id="12"/>
      <w:bookmarkEnd w:id="13"/>
      <w:r>
        <w:rPr>
          <w:rFonts w:ascii="Times New Roman" w:hAnsi="Times New Roman" w:eastAsia="宋体"/>
          <w:szCs w:val="28"/>
        </w:rPr>
        <w:t xml:space="preserve"> </w:t>
      </w:r>
    </w:p>
    <w:p>
      <w:pPr>
        <w:pStyle w:val="116"/>
        <w:outlineLvl w:val="2"/>
        <w:rPr>
          <w:rFonts w:ascii="Times New Roman" w:hAnsi="Times New Roman" w:eastAsia="宋体"/>
          <w:sz w:val="24"/>
        </w:rPr>
      </w:pPr>
      <w:bookmarkStart w:id="14" w:name="_Toc381858650"/>
      <w:bookmarkStart w:id="15" w:name="_Toc381795929"/>
      <w:bookmarkStart w:id="16" w:name="_Toc149641960"/>
      <w:r>
        <w:rPr>
          <w:rFonts w:ascii="Times New Roman" w:hAnsi="Times New Roman" w:eastAsia="宋体"/>
          <w:sz w:val="24"/>
        </w:rPr>
        <w:t>2.4.1 法律法规</w:t>
      </w:r>
      <w:bookmarkEnd w:id="14"/>
      <w:bookmarkEnd w:id="15"/>
      <w:r>
        <w:rPr>
          <w:rFonts w:ascii="Times New Roman" w:hAnsi="Times New Roman" w:eastAsia="宋体"/>
          <w:sz w:val="24"/>
        </w:rPr>
        <w:t>与政策要求</w:t>
      </w:r>
      <w:bookmarkEnd w:id="16"/>
    </w:p>
    <w:p>
      <w:pPr>
        <w:spacing w:line="440" w:lineRule="exact"/>
        <w:ind w:firstLine="482" w:firstLineChars="200"/>
        <w:rPr>
          <w:b/>
          <w:sz w:val="24"/>
          <w:szCs w:val="24"/>
        </w:rPr>
      </w:pPr>
      <w:r>
        <w:rPr>
          <w:b/>
          <w:sz w:val="24"/>
          <w:szCs w:val="24"/>
        </w:rPr>
        <w:t>1、国家法律法规</w:t>
      </w:r>
    </w:p>
    <w:p>
      <w:pPr>
        <w:numPr>
          <w:ilvl w:val="0"/>
          <w:numId w:val="1"/>
        </w:numPr>
        <w:spacing w:line="440" w:lineRule="exact"/>
        <w:ind w:firstLine="480" w:firstLineChars="200"/>
        <w:rPr>
          <w:sz w:val="24"/>
          <w:szCs w:val="24"/>
        </w:rPr>
      </w:pPr>
      <w:r>
        <w:rPr>
          <w:sz w:val="24"/>
          <w:szCs w:val="24"/>
        </w:rPr>
        <w:t>《中华人民共和国环境保护法》，2014年修订，2015.1.1施行；</w:t>
      </w:r>
    </w:p>
    <w:p>
      <w:pPr>
        <w:numPr>
          <w:ilvl w:val="0"/>
          <w:numId w:val="1"/>
        </w:numPr>
        <w:spacing w:line="440" w:lineRule="exact"/>
        <w:ind w:firstLine="480" w:firstLineChars="200"/>
        <w:rPr>
          <w:sz w:val="24"/>
          <w:szCs w:val="24"/>
        </w:rPr>
      </w:pPr>
      <w:r>
        <w:rPr>
          <w:sz w:val="24"/>
          <w:szCs w:val="24"/>
        </w:rPr>
        <w:t>《中华人民共和国固体废物污染环境防治法》，2020.9.1施行；</w:t>
      </w:r>
    </w:p>
    <w:p>
      <w:pPr>
        <w:numPr>
          <w:ilvl w:val="0"/>
          <w:numId w:val="1"/>
        </w:numPr>
        <w:spacing w:line="440" w:lineRule="exact"/>
        <w:ind w:firstLine="480" w:firstLineChars="200"/>
        <w:rPr>
          <w:sz w:val="24"/>
          <w:szCs w:val="24"/>
        </w:rPr>
      </w:pPr>
      <w:r>
        <w:rPr>
          <w:sz w:val="24"/>
          <w:szCs w:val="24"/>
        </w:rPr>
        <w:t>《中华人民共和国土壤污染防治法》，2019.1.1施行；</w:t>
      </w:r>
    </w:p>
    <w:p>
      <w:pPr>
        <w:numPr>
          <w:ilvl w:val="0"/>
          <w:numId w:val="1"/>
        </w:numPr>
        <w:spacing w:line="440" w:lineRule="exact"/>
        <w:ind w:firstLine="480" w:firstLineChars="200"/>
        <w:rPr>
          <w:sz w:val="24"/>
          <w:szCs w:val="24"/>
        </w:rPr>
      </w:pPr>
      <w:r>
        <w:rPr>
          <w:sz w:val="24"/>
          <w:szCs w:val="24"/>
        </w:rPr>
        <w:t>《关于印发&lt;土壤污染防治行动计划&gt;的通知》(国发[2016]31号)；</w:t>
      </w:r>
    </w:p>
    <w:p>
      <w:pPr>
        <w:numPr>
          <w:ilvl w:val="0"/>
          <w:numId w:val="1"/>
        </w:numPr>
        <w:spacing w:line="440" w:lineRule="exact"/>
        <w:ind w:firstLine="480" w:firstLineChars="200"/>
        <w:rPr>
          <w:sz w:val="24"/>
          <w:szCs w:val="24"/>
        </w:rPr>
      </w:pPr>
      <w:r>
        <w:rPr>
          <w:sz w:val="24"/>
          <w:szCs w:val="24"/>
        </w:rPr>
        <w:t>《污染地块土壤环境管理办法》(原环保部令第42号)，2017.7.1实施；</w:t>
      </w:r>
    </w:p>
    <w:p>
      <w:pPr>
        <w:numPr>
          <w:ilvl w:val="0"/>
          <w:numId w:val="1"/>
        </w:numPr>
        <w:spacing w:line="440" w:lineRule="exact"/>
        <w:ind w:firstLine="480" w:firstLineChars="200"/>
        <w:rPr>
          <w:sz w:val="24"/>
          <w:szCs w:val="24"/>
        </w:rPr>
      </w:pPr>
      <w:r>
        <w:rPr>
          <w:sz w:val="24"/>
          <w:szCs w:val="24"/>
        </w:rPr>
        <w:t>《地下水管理条例》(国务院令第748号)，2021.12.1实施；</w:t>
      </w:r>
    </w:p>
    <w:p>
      <w:pPr>
        <w:numPr>
          <w:ilvl w:val="0"/>
          <w:numId w:val="1"/>
        </w:numPr>
        <w:spacing w:line="440" w:lineRule="exact"/>
        <w:ind w:firstLine="480" w:firstLineChars="200"/>
        <w:rPr>
          <w:sz w:val="24"/>
          <w:szCs w:val="24"/>
        </w:rPr>
      </w:pPr>
      <w:r>
        <w:rPr>
          <w:sz w:val="24"/>
          <w:szCs w:val="24"/>
        </w:rPr>
        <w:t>《关于贯彻落实土壤污染防治法推动解决突出土壤污染问题的实施意见》(环办土壤[2019]47号)；</w:t>
      </w:r>
    </w:p>
    <w:p>
      <w:pPr>
        <w:numPr>
          <w:ilvl w:val="0"/>
          <w:numId w:val="1"/>
        </w:numPr>
        <w:spacing w:line="440" w:lineRule="exact"/>
        <w:ind w:firstLine="480" w:firstLineChars="200"/>
        <w:rPr>
          <w:sz w:val="24"/>
          <w:szCs w:val="24"/>
        </w:rPr>
      </w:pPr>
      <w:r>
        <w:rPr>
          <w:sz w:val="24"/>
          <w:szCs w:val="24"/>
        </w:rPr>
        <w:t>《关于印发&lt;建设用地土壤污染状况调查、风险评估、风险管控及修复效果评估报告评审指南&gt;的通知》(环办土壤[2019]63号)。</w:t>
      </w:r>
    </w:p>
    <w:p>
      <w:pPr>
        <w:spacing w:line="440" w:lineRule="exact"/>
        <w:ind w:left="480"/>
        <w:rPr>
          <w:sz w:val="24"/>
          <w:szCs w:val="24"/>
        </w:rPr>
      </w:pPr>
      <w:r>
        <w:rPr>
          <w:b/>
          <w:sz w:val="24"/>
          <w:szCs w:val="24"/>
        </w:rPr>
        <w:t>2、地方法律法规</w:t>
      </w:r>
    </w:p>
    <w:p>
      <w:pPr>
        <w:numPr>
          <w:ilvl w:val="0"/>
          <w:numId w:val="2"/>
        </w:numPr>
        <w:spacing w:line="440" w:lineRule="exact"/>
        <w:ind w:left="0" w:firstLine="480" w:firstLineChars="200"/>
        <w:rPr>
          <w:sz w:val="24"/>
          <w:szCs w:val="24"/>
        </w:rPr>
      </w:pPr>
      <w:r>
        <w:rPr>
          <w:sz w:val="24"/>
          <w:szCs w:val="24"/>
        </w:rPr>
        <w:t>《关于开展全省污染场地排查工作的通知》(浙环办函[2012]405号)；</w:t>
      </w:r>
    </w:p>
    <w:p>
      <w:pPr>
        <w:numPr>
          <w:ilvl w:val="0"/>
          <w:numId w:val="2"/>
        </w:numPr>
        <w:spacing w:line="440" w:lineRule="exact"/>
        <w:ind w:left="0" w:firstLine="480" w:firstLineChars="200"/>
        <w:rPr>
          <w:sz w:val="24"/>
          <w:szCs w:val="24"/>
        </w:rPr>
      </w:pPr>
      <w:r>
        <w:rPr>
          <w:sz w:val="24"/>
          <w:szCs w:val="24"/>
        </w:rPr>
        <w:t>《关于印发&lt;浙江省土壤污染防治工作方案&gt;的通知》(浙政发[2016]47号)；</w:t>
      </w:r>
    </w:p>
    <w:p>
      <w:pPr>
        <w:numPr>
          <w:ilvl w:val="0"/>
          <w:numId w:val="2"/>
        </w:numPr>
        <w:spacing w:line="440" w:lineRule="exact"/>
        <w:ind w:left="0" w:firstLine="480" w:firstLineChars="200"/>
        <w:rPr>
          <w:sz w:val="24"/>
          <w:szCs w:val="24"/>
        </w:rPr>
      </w:pPr>
      <w:r>
        <w:rPr>
          <w:sz w:val="24"/>
          <w:szCs w:val="24"/>
        </w:rPr>
        <w:t>《浙江省固体废物污染环境防治条例》，2017.9.30第二次修正；</w:t>
      </w:r>
    </w:p>
    <w:p>
      <w:pPr>
        <w:numPr>
          <w:ilvl w:val="0"/>
          <w:numId w:val="2"/>
        </w:numPr>
        <w:spacing w:line="440" w:lineRule="exact"/>
        <w:ind w:left="0" w:firstLine="480" w:firstLineChars="200"/>
        <w:rPr>
          <w:sz w:val="24"/>
          <w:szCs w:val="24"/>
        </w:rPr>
      </w:pPr>
      <w:r>
        <w:rPr>
          <w:sz w:val="24"/>
          <w:szCs w:val="24"/>
        </w:rPr>
        <w:t>《浙江省建设用地土壤污染风险管控和修复监督管理办法》(浙环发[2021]21号)；</w:t>
      </w:r>
    </w:p>
    <w:p>
      <w:pPr>
        <w:numPr>
          <w:ilvl w:val="0"/>
          <w:numId w:val="2"/>
        </w:numPr>
        <w:spacing w:line="440" w:lineRule="exact"/>
        <w:rPr>
          <w:sz w:val="24"/>
          <w:szCs w:val="24"/>
        </w:rPr>
      </w:pPr>
      <w:r>
        <w:rPr>
          <w:sz w:val="24"/>
          <w:szCs w:val="24"/>
        </w:rPr>
        <w:t>《关于印发&lt;浙江省地下水污染防治实施方案&gt;的通知》(浙环函[2020]122号)；</w:t>
      </w:r>
    </w:p>
    <w:p>
      <w:pPr>
        <w:numPr>
          <w:ilvl w:val="0"/>
          <w:numId w:val="2"/>
        </w:numPr>
        <w:spacing w:line="440" w:lineRule="exact"/>
        <w:ind w:left="0" w:firstLine="480" w:firstLineChars="200"/>
        <w:rPr>
          <w:sz w:val="24"/>
          <w:szCs w:val="24"/>
        </w:rPr>
      </w:pPr>
      <w:r>
        <w:rPr>
          <w:sz w:val="24"/>
          <w:szCs w:val="24"/>
        </w:rPr>
        <w:t>《关于印发&lt;浙江省建设用地土壤污染风险管控和修复“一件事”改革方案&gt;的通知》(浙环发[2021]20号)；</w:t>
      </w:r>
    </w:p>
    <w:p>
      <w:pPr>
        <w:numPr>
          <w:ilvl w:val="0"/>
          <w:numId w:val="2"/>
        </w:numPr>
        <w:spacing w:line="440" w:lineRule="exact"/>
        <w:ind w:left="0" w:firstLine="480" w:firstLineChars="200"/>
        <w:rPr>
          <w:sz w:val="24"/>
          <w:szCs w:val="24"/>
        </w:rPr>
      </w:pPr>
      <w:r>
        <w:rPr>
          <w:sz w:val="24"/>
          <w:szCs w:val="24"/>
        </w:rPr>
        <w:t>《关于印发&lt;浙江省建设用地土壤污染风险管控和修复监督管理办法&gt;的通知》(浙环发[2021]21号)；</w:t>
      </w:r>
    </w:p>
    <w:p>
      <w:pPr>
        <w:numPr>
          <w:ilvl w:val="0"/>
          <w:numId w:val="2"/>
        </w:numPr>
        <w:spacing w:line="440" w:lineRule="exact"/>
        <w:ind w:left="0" w:firstLine="480" w:firstLineChars="200"/>
        <w:rPr>
          <w:sz w:val="24"/>
          <w:szCs w:val="24"/>
        </w:rPr>
      </w:pPr>
      <w:r>
        <w:rPr>
          <w:sz w:val="24"/>
          <w:szCs w:val="24"/>
        </w:rPr>
        <w:t>《浙江省土壤、地下水和农业农村污染防治“十四五”规划》(浙发改规划[2021]250号)；</w:t>
      </w:r>
    </w:p>
    <w:p>
      <w:pPr>
        <w:numPr>
          <w:ilvl w:val="0"/>
          <w:numId w:val="2"/>
        </w:numPr>
        <w:spacing w:line="440" w:lineRule="exact"/>
        <w:ind w:left="0" w:firstLine="480" w:firstLineChars="200"/>
        <w:rPr>
          <w:sz w:val="24"/>
          <w:szCs w:val="24"/>
        </w:rPr>
      </w:pPr>
      <w:r>
        <w:rPr>
          <w:sz w:val="24"/>
          <w:szCs w:val="24"/>
        </w:rPr>
        <w:t>《关于贯彻落实&lt;土壤污染防治法切实做好土壤污染状况调查工作&gt;的通知》(金环函[2020]17号)；</w:t>
      </w:r>
    </w:p>
    <w:p>
      <w:pPr>
        <w:numPr>
          <w:ilvl w:val="0"/>
          <w:numId w:val="2"/>
        </w:numPr>
        <w:spacing w:line="440" w:lineRule="exact"/>
        <w:ind w:left="0" w:firstLine="480" w:firstLineChars="200"/>
        <w:rPr>
          <w:sz w:val="24"/>
          <w:szCs w:val="24"/>
        </w:rPr>
      </w:pPr>
      <w:r>
        <w:rPr>
          <w:sz w:val="24"/>
          <w:szCs w:val="24"/>
        </w:rPr>
        <w:t>《关于做好贯彻落实&lt;浙江省建设用地土壤污染风险管控和修复“一件事”改革方案&gt;和&lt;浙江省建设用地土壤污染风险管控和修复监督管理办法&gt;的通知》(金环函[2022]5号)。</w:t>
      </w:r>
    </w:p>
    <w:p>
      <w:pPr>
        <w:pStyle w:val="116"/>
        <w:outlineLvl w:val="2"/>
        <w:rPr>
          <w:rFonts w:ascii="Times New Roman" w:hAnsi="Times New Roman" w:eastAsia="宋体"/>
          <w:sz w:val="24"/>
        </w:rPr>
      </w:pPr>
      <w:bookmarkStart w:id="17" w:name="_Toc149641961"/>
      <w:r>
        <w:rPr>
          <w:rFonts w:ascii="Times New Roman" w:hAnsi="Times New Roman" w:eastAsia="宋体"/>
          <w:sz w:val="24"/>
        </w:rPr>
        <w:t>2.4.2 技术导则与技术规范</w:t>
      </w:r>
      <w:bookmarkEnd w:id="17"/>
    </w:p>
    <w:p>
      <w:pPr>
        <w:numPr>
          <w:ilvl w:val="0"/>
          <w:numId w:val="3"/>
        </w:numPr>
        <w:spacing w:line="440" w:lineRule="exact"/>
        <w:ind w:left="0" w:firstLine="480" w:firstLineChars="200"/>
        <w:rPr>
          <w:sz w:val="24"/>
          <w:szCs w:val="24"/>
        </w:rPr>
      </w:pPr>
      <w:r>
        <w:rPr>
          <w:sz w:val="24"/>
          <w:szCs w:val="24"/>
        </w:rPr>
        <w:t>《土壤环境监测技术规范》(HJ/T166-2004)；</w:t>
      </w:r>
    </w:p>
    <w:p>
      <w:pPr>
        <w:numPr>
          <w:ilvl w:val="0"/>
          <w:numId w:val="3"/>
        </w:numPr>
        <w:spacing w:line="440" w:lineRule="exact"/>
        <w:ind w:left="0" w:firstLine="480" w:firstLineChars="200"/>
        <w:rPr>
          <w:sz w:val="24"/>
          <w:szCs w:val="24"/>
        </w:rPr>
      </w:pPr>
      <w:r>
        <w:rPr>
          <w:sz w:val="24"/>
          <w:szCs w:val="24"/>
        </w:rPr>
        <w:t>《建设用地土壤污染状况调查技术导则》(HJ25.1-2019)；</w:t>
      </w:r>
    </w:p>
    <w:p>
      <w:pPr>
        <w:numPr>
          <w:ilvl w:val="0"/>
          <w:numId w:val="3"/>
        </w:numPr>
        <w:spacing w:line="440" w:lineRule="exact"/>
        <w:ind w:left="0" w:firstLine="480" w:firstLineChars="200"/>
        <w:rPr>
          <w:sz w:val="24"/>
          <w:szCs w:val="24"/>
        </w:rPr>
      </w:pPr>
      <w:r>
        <w:rPr>
          <w:sz w:val="24"/>
          <w:szCs w:val="24"/>
        </w:rPr>
        <w:t>《建设用地土壤污染风险管控和修复监测技术导则》(HJ25.2-2019)；</w:t>
      </w:r>
    </w:p>
    <w:p>
      <w:pPr>
        <w:numPr>
          <w:ilvl w:val="0"/>
          <w:numId w:val="3"/>
        </w:numPr>
        <w:spacing w:line="440" w:lineRule="exact"/>
        <w:ind w:left="0" w:firstLine="480" w:firstLineChars="200"/>
        <w:rPr>
          <w:sz w:val="24"/>
          <w:szCs w:val="24"/>
        </w:rPr>
      </w:pPr>
      <w:r>
        <w:rPr>
          <w:sz w:val="24"/>
          <w:szCs w:val="24"/>
        </w:rPr>
        <w:t>《建设用地土壤污染风险管控和修复术语》(HJ682-2019)；</w:t>
      </w:r>
    </w:p>
    <w:p>
      <w:pPr>
        <w:numPr>
          <w:ilvl w:val="0"/>
          <w:numId w:val="3"/>
        </w:numPr>
        <w:spacing w:line="440" w:lineRule="exact"/>
        <w:ind w:left="0" w:firstLine="480" w:firstLineChars="200"/>
        <w:rPr>
          <w:sz w:val="24"/>
          <w:szCs w:val="24"/>
        </w:rPr>
      </w:pPr>
      <w:r>
        <w:rPr>
          <w:sz w:val="24"/>
          <w:szCs w:val="24"/>
        </w:rPr>
        <w:t>《地块土壤和地下水中挥发性有机物采样技术导则》(HJ1019-2019)；</w:t>
      </w:r>
    </w:p>
    <w:p>
      <w:pPr>
        <w:numPr>
          <w:ilvl w:val="0"/>
          <w:numId w:val="3"/>
        </w:numPr>
        <w:spacing w:line="440" w:lineRule="exact"/>
        <w:ind w:left="0" w:firstLine="480" w:firstLineChars="200"/>
        <w:rPr>
          <w:sz w:val="24"/>
          <w:szCs w:val="24"/>
        </w:rPr>
      </w:pPr>
      <w:r>
        <w:rPr>
          <w:sz w:val="24"/>
          <w:szCs w:val="24"/>
        </w:rPr>
        <w:t>《工业企业场地环境调查评估与修复工作指南(试行)》，原环保部公告2014年第78号；</w:t>
      </w:r>
    </w:p>
    <w:p>
      <w:pPr>
        <w:numPr>
          <w:ilvl w:val="0"/>
          <w:numId w:val="3"/>
        </w:numPr>
        <w:spacing w:line="440" w:lineRule="exact"/>
        <w:ind w:left="0" w:firstLine="480" w:firstLineChars="200"/>
        <w:rPr>
          <w:sz w:val="24"/>
          <w:szCs w:val="24"/>
        </w:rPr>
      </w:pPr>
      <w:r>
        <w:rPr>
          <w:sz w:val="24"/>
          <w:szCs w:val="24"/>
        </w:rPr>
        <w:t>《建设用地土壤环境调查评估技术指南》，原环保部公告2017年第72号；</w:t>
      </w:r>
    </w:p>
    <w:p>
      <w:pPr>
        <w:numPr>
          <w:ilvl w:val="0"/>
          <w:numId w:val="3"/>
        </w:numPr>
        <w:spacing w:line="440" w:lineRule="exact"/>
        <w:ind w:left="0" w:firstLine="480" w:firstLineChars="200"/>
        <w:rPr>
          <w:sz w:val="24"/>
          <w:szCs w:val="24"/>
        </w:rPr>
      </w:pPr>
      <w:r>
        <w:rPr>
          <w:sz w:val="24"/>
          <w:szCs w:val="24"/>
        </w:rPr>
        <w:t>《土壤环境质量标准 建设用地土壤污染风险管控标准(试行)》(GB36600-2018)；</w:t>
      </w:r>
    </w:p>
    <w:p>
      <w:pPr>
        <w:numPr>
          <w:ilvl w:val="0"/>
          <w:numId w:val="3"/>
        </w:numPr>
        <w:spacing w:line="440" w:lineRule="exact"/>
        <w:ind w:left="0" w:firstLine="480" w:firstLineChars="200"/>
        <w:rPr>
          <w:sz w:val="24"/>
          <w:szCs w:val="24"/>
        </w:rPr>
      </w:pPr>
      <w:r>
        <w:rPr>
          <w:sz w:val="24"/>
          <w:szCs w:val="24"/>
        </w:rPr>
        <w:t>《浙江省场地环境技术调查技术手册(试行)》2012.12；</w:t>
      </w:r>
    </w:p>
    <w:p>
      <w:pPr>
        <w:numPr>
          <w:ilvl w:val="0"/>
          <w:numId w:val="3"/>
        </w:numPr>
        <w:spacing w:line="440" w:lineRule="exact"/>
        <w:ind w:left="0" w:firstLine="480" w:firstLineChars="200"/>
        <w:rPr>
          <w:sz w:val="24"/>
          <w:szCs w:val="24"/>
        </w:rPr>
      </w:pPr>
      <w:r>
        <w:rPr>
          <w:sz w:val="24"/>
          <w:szCs w:val="24"/>
        </w:rPr>
        <w:t>《浙江省水功能区水环境功能区划分方案(2015)》(浙政函[2015]71号)；</w:t>
      </w:r>
    </w:p>
    <w:p>
      <w:pPr>
        <w:numPr>
          <w:ilvl w:val="0"/>
          <w:numId w:val="3"/>
        </w:numPr>
        <w:spacing w:line="440" w:lineRule="exact"/>
        <w:rPr>
          <w:sz w:val="24"/>
          <w:szCs w:val="24"/>
        </w:rPr>
      </w:pPr>
      <w:r>
        <w:rPr>
          <w:sz w:val="24"/>
          <w:szCs w:val="24"/>
        </w:rPr>
        <w:t>浙江省《建设用地土壤污染风险评估技术导则》(DB33/T 892-2022)；</w:t>
      </w:r>
    </w:p>
    <w:p>
      <w:pPr>
        <w:numPr>
          <w:ilvl w:val="0"/>
          <w:numId w:val="3"/>
        </w:numPr>
        <w:spacing w:line="440" w:lineRule="exact"/>
        <w:ind w:left="0" w:firstLine="480" w:firstLineChars="200"/>
        <w:rPr>
          <w:sz w:val="24"/>
          <w:szCs w:val="24"/>
        </w:rPr>
      </w:pPr>
      <w:r>
        <w:rPr>
          <w:sz w:val="24"/>
          <w:szCs w:val="24"/>
        </w:rPr>
        <w:t>《污染场地岩土工程勘察标准》(HG/T 20717-2019)；</w:t>
      </w:r>
    </w:p>
    <w:p>
      <w:pPr>
        <w:numPr>
          <w:ilvl w:val="0"/>
          <w:numId w:val="3"/>
        </w:numPr>
        <w:spacing w:line="440" w:lineRule="exact"/>
        <w:ind w:left="0" w:firstLine="480" w:firstLineChars="200"/>
        <w:rPr>
          <w:sz w:val="24"/>
          <w:szCs w:val="24"/>
        </w:rPr>
      </w:pPr>
      <w:r>
        <w:rPr>
          <w:sz w:val="24"/>
          <w:szCs w:val="24"/>
        </w:rPr>
        <w:t>《岩土工程勘察规范》(GB 50021-2001)(2009版)。</w:t>
      </w:r>
    </w:p>
    <w:p>
      <w:pPr>
        <w:pStyle w:val="116"/>
        <w:outlineLvl w:val="2"/>
        <w:rPr>
          <w:rFonts w:ascii="Times New Roman" w:hAnsi="Times New Roman" w:eastAsia="宋体"/>
          <w:sz w:val="24"/>
        </w:rPr>
      </w:pPr>
      <w:bookmarkStart w:id="18" w:name="_Toc149641962"/>
      <w:r>
        <w:rPr>
          <w:rFonts w:ascii="Times New Roman" w:hAnsi="Times New Roman" w:eastAsia="宋体"/>
          <w:sz w:val="24"/>
        </w:rPr>
        <w:t>2.4.3 其他依据</w:t>
      </w:r>
      <w:bookmarkEnd w:id="18"/>
    </w:p>
    <w:p>
      <w:pPr>
        <w:numPr>
          <w:ilvl w:val="0"/>
          <w:numId w:val="4"/>
        </w:numPr>
        <w:spacing w:line="440" w:lineRule="exact"/>
        <w:ind w:left="0" w:firstLine="480" w:firstLineChars="200"/>
        <w:rPr>
          <w:sz w:val="24"/>
          <w:szCs w:val="24"/>
        </w:rPr>
      </w:pPr>
      <w:r>
        <w:rPr>
          <w:sz w:val="24"/>
          <w:szCs w:val="24"/>
        </w:rPr>
        <w:t>《</w:t>
      </w:r>
      <w:r>
        <w:rPr>
          <w:rFonts w:hint="eastAsia"/>
          <w:sz w:val="24"/>
          <w:szCs w:val="24"/>
        </w:rPr>
        <w:t>金华市婺城区婺城新区单元(ZX-15-01-19)地块建筑用砂矿地质勘查报告</w:t>
      </w:r>
      <w:r>
        <w:rPr>
          <w:sz w:val="24"/>
          <w:szCs w:val="24"/>
        </w:rPr>
        <w:t>》(2023.8)；</w:t>
      </w:r>
    </w:p>
    <w:p>
      <w:pPr>
        <w:numPr>
          <w:ilvl w:val="0"/>
          <w:numId w:val="4"/>
        </w:numPr>
        <w:spacing w:line="440" w:lineRule="exact"/>
        <w:ind w:left="0" w:firstLine="480" w:firstLineChars="200"/>
        <w:rPr>
          <w:sz w:val="24"/>
          <w:szCs w:val="24"/>
        </w:rPr>
      </w:pPr>
      <w:r>
        <w:rPr>
          <w:sz w:val="24"/>
          <w:szCs w:val="24"/>
        </w:rPr>
        <w:t>《</w:t>
      </w:r>
      <w:r>
        <w:rPr>
          <w:rFonts w:hint="eastAsia"/>
          <w:sz w:val="24"/>
          <w:szCs w:val="24"/>
        </w:rPr>
        <w:t>金华市婺城区婺城新区单元</w:t>
      </w:r>
      <w:r>
        <w:rPr>
          <w:sz w:val="24"/>
          <w:szCs w:val="24"/>
        </w:rPr>
        <w:t>01</w:t>
      </w:r>
      <w:r>
        <w:rPr>
          <w:rFonts w:hint="eastAsia"/>
          <w:sz w:val="24"/>
          <w:szCs w:val="24"/>
        </w:rPr>
        <w:t>街区1</w:t>
      </w:r>
      <w:r>
        <w:rPr>
          <w:sz w:val="24"/>
          <w:szCs w:val="24"/>
        </w:rPr>
        <w:t>9</w:t>
      </w:r>
      <w:r>
        <w:rPr>
          <w:rFonts w:hint="eastAsia"/>
          <w:sz w:val="24"/>
          <w:szCs w:val="24"/>
        </w:rPr>
        <w:t>~</w:t>
      </w:r>
      <w:r>
        <w:rPr>
          <w:sz w:val="24"/>
          <w:szCs w:val="24"/>
        </w:rPr>
        <w:t>20</w:t>
      </w:r>
      <w:r>
        <w:rPr>
          <w:rFonts w:hint="eastAsia"/>
          <w:sz w:val="24"/>
          <w:szCs w:val="24"/>
        </w:rPr>
        <w:t>地块</w:t>
      </w:r>
      <w:r>
        <w:rPr>
          <w:sz w:val="24"/>
          <w:szCs w:val="24"/>
        </w:rPr>
        <w:t>控制性详细规划</w:t>
      </w:r>
      <w:r>
        <w:rPr>
          <w:rFonts w:hint="eastAsia"/>
          <w:sz w:val="24"/>
          <w:szCs w:val="24"/>
        </w:rPr>
        <w:t>修改</w:t>
      </w:r>
      <w:r>
        <w:rPr>
          <w:sz w:val="24"/>
          <w:szCs w:val="24"/>
        </w:rPr>
        <w:t>》；</w:t>
      </w:r>
    </w:p>
    <w:p>
      <w:pPr>
        <w:numPr>
          <w:ilvl w:val="0"/>
          <w:numId w:val="4"/>
        </w:numPr>
        <w:spacing w:line="440" w:lineRule="exact"/>
        <w:ind w:left="0" w:firstLine="480" w:firstLineChars="200"/>
        <w:rPr>
          <w:sz w:val="24"/>
          <w:szCs w:val="24"/>
        </w:rPr>
      </w:pPr>
      <w:r>
        <w:rPr>
          <w:sz w:val="24"/>
          <w:szCs w:val="24"/>
        </w:rPr>
        <w:t>《</w:t>
      </w:r>
      <w:r>
        <w:rPr>
          <w:rFonts w:hint="eastAsia"/>
          <w:sz w:val="24"/>
          <w:szCs w:val="24"/>
        </w:rPr>
        <w:t>金华市婺城区婺城新区单元(ZX-15-01-19)地块规划条件书》(金自然资规条330703202300044号)</w:t>
      </w:r>
      <w:r>
        <w:rPr>
          <w:sz w:val="24"/>
          <w:szCs w:val="24"/>
        </w:rPr>
        <w:t>；</w:t>
      </w:r>
    </w:p>
    <w:p>
      <w:pPr>
        <w:numPr>
          <w:ilvl w:val="0"/>
          <w:numId w:val="4"/>
        </w:numPr>
        <w:spacing w:line="440" w:lineRule="exact"/>
        <w:ind w:left="0" w:firstLine="480" w:firstLineChars="200"/>
        <w:rPr>
          <w:sz w:val="24"/>
          <w:szCs w:val="24"/>
        </w:rPr>
      </w:pPr>
      <w:r>
        <w:rPr>
          <w:sz w:val="24"/>
          <w:szCs w:val="24"/>
        </w:rPr>
        <w:t>相关资料。</w:t>
      </w:r>
    </w:p>
    <w:p>
      <w:pPr>
        <w:pStyle w:val="116"/>
        <w:rPr>
          <w:rFonts w:ascii="Times New Roman" w:hAnsi="Times New Roman" w:eastAsia="宋体"/>
          <w:szCs w:val="28"/>
        </w:rPr>
      </w:pPr>
      <w:bookmarkStart w:id="19" w:name="_Toc149641963"/>
      <w:r>
        <w:rPr>
          <w:rFonts w:ascii="Times New Roman" w:hAnsi="Times New Roman" w:eastAsia="宋体"/>
          <w:szCs w:val="28"/>
        </w:rPr>
        <w:t>2.5 调查方法</w:t>
      </w:r>
      <w:bookmarkEnd w:id="19"/>
    </w:p>
    <w:p>
      <w:pPr>
        <w:spacing w:line="420" w:lineRule="exact"/>
        <w:ind w:firstLine="480" w:firstLineChars="200"/>
        <w:rPr>
          <w:sz w:val="24"/>
          <w:szCs w:val="24"/>
        </w:rPr>
      </w:pPr>
      <w:r>
        <w:rPr>
          <w:sz w:val="24"/>
          <w:szCs w:val="24"/>
        </w:rPr>
        <w:t>本次调查按照《建设用地土壤污染状况调查技术导则》(HJ25.1-2019)开展，主要包括资料收集与分析、现场踏勘、人员访谈、信息核查、分析和评估，具体调查方法如下：</w:t>
      </w:r>
    </w:p>
    <w:p>
      <w:pPr>
        <w:spacing w:line="420" w:lineRule="exact"/>
        <w:ind w:firstLine="480" w:firstLineChars="200"/>
        <w:rPr>
          <w:sz w:val="24"/>
          <w:szCs w:val="24"/>
        </w:rPr>
      </w:pPr>
      <w:r>
        <w:rPr>
          <w:sz w:val="24"/>
          <w:szCs w:val="24"/>
        </w:rPr>
        <w:t>1、资料收集与分析</w:t>
      </w:r>
    </w:p>
    <w:p>
      <w:pPr>
        <w:spacing w:line="420" w:lineRule="exact"/>
        <w:ind w:firstLine="480" w:firstLineChars="200"/>
        <w:rPr>
          <w:sz w:val="24"/>
          <w:szCs w:val="24"/>
        </w:rPr>
      </w:pPr>
      <w:r>
        <w:rPr>
          <w:sz w:val="24"/>
          <w:szCs w:val="24"/>
        </w:rPr>
        <w:t>收集地块使用历史、周边企业生产过程、区域环境信息等相关资料，初步了解地块环境概况，主要收集的资料包括地块变迁资料、水文地质勘查报告等。</w:t>
      </w:r>
    </w:p>
    <w:p>
      <w:pPr>
        <w:spacing w:line="420" w:lineRule="exact"/>
        <w:ind w:firstLine="480" w:firstLineChars="200"/>
        <w:rPr>
          <w:sz w:val="24"/>
          <w:szCs w:val="24"/>
        </w:rPr>
      </w:pPr>
      <w:r>
        <w:rPr>
          <w:sz w:val="24"/>
          <w:szCs w:val="24"/>
        </w:rPr>
        <w:t>2、现场踏勘</w:t>
      </w:r>
    </w:p>
    <w:p>
      <w:pPr>
        <w:spacing w:line="420" w:lineRule="exact"/>
        <w:ind w:firstLine="480" w:firstLineChars="200"/>
        <w:rPr>
          <w:sz w:val="24"/>
          <w:szCs w:val="24"/>
        </w:rPr>
      </w:pPr>
      <w:r>
        <w:rPr>
          <w:sz w:val="24"/>
          <w:szCs w:val="24"/>
        </w:rPr>
        <w:t>对该地块进行现场踏勘，尽可能收集更为详尽的污染地块资料，作为制定下一步工作计划的依据。现场踏勘以地块内为主，并适当包括地块周边区域，在勘查地块时尽可能勘查地块是否有设施、建筑物、构筑物，如管道、槽、沟等，同时观察是否有敏感目标等存在。另外，对地块内土壤进行现场快筛检测。</w:t>
      </w:r>
    </w:p>
    <w:p>
      <w:pPr>
        <w:spacing w:line="420" w:lineRule="exact"/>
        <w:ind w:firstLine="480" w:firstLineChars="200"/>
        <w:rPr>
          <w:sz w:val="24"/>
          <w:szCs w:val="24"/>
        </w:rPr>
      </w:pPr>
      <w:r>
        <w:rPr>
          <w:sz w:val="24"/>
          <w:szCs w:val="24"/>
        </w:rPr>
        <w:t>3、人员访谈</w:t>
      </w:r>
    </w:p>
    <w:p>
      <w:pPr>
        <w:spacing w:line="420" w:lineRule="exact"/>
        <w:ind w:firstLine="480" w:firstLineChars="200"/>
        <w:rPr>
          <w:sz w:val="24"/>
          <w:szCs w:val="24"/>
        </w:rPr>
      </w:pPr>
      <w:r>
        <w:rPr>
          <w:sz w:val="24"/>
          <w:szCs w:val="24"/>
        </w:rPr>
        <w:t>对相关人员进行访谈，了解地块现状和历史。访谈对象包括：政府人员、生态环境行政主管部门人员、地块过去和现在不同阶段使用者、地块所在地或熟悉当地事物的第三方，如临近地块的工作人员、过去的雇员和附近的居民。访谈对象采取当面交流、电话交流。</w:t>
      </w:r>
    </w:p>
    <w:p>
      <w:pPr>
        <w:spacing w:line="420" w:lineRule="exact"/>
        <w:ind w:firstLine="480" w:firstLineChars="200"/>
        <w:rPr>
          <w:sz w:val="24"/>
          <w:szCs w:val="24"/>
        </w:rPr>
      </w:pPr>
      <w:r>
        <w:rPr>
          <w:sz w:val="24"/>
          <w:szCs w:val="24"/>
        </w:rPr>
        <w:t>4、信息核查、分析和评估</w:t>
      </w:r>
    </w:p>
    <w:p>
      <w:pPr>
        <w:spacing w:line="420" w:lineRule="exact"/>
        <w:ind w:firstLine="480" w:firstLineChars="200"/>
        <w:rPr>
          <w:sz w:val="24"/>
          <w:szCs w:val="24"/>
        </w:rPr>
      </w:pPr>
      <w:r>
        <w:rPr>
          <w:sz w:val="24"/>
          <w:szCs w:val="24"/>
        </w:rPr>
        <w:t>主要是对地块受到污染或存在污染风险的相关信息进行核实，特别是现场勘查中确定的重点关注区域及相关内容，分析和评估地块受污染的可能性。</w:t>
      </w:r>
    </w:p>
    <w:p>
      <w:pPr>
        <w:pStyle w:val="3"/>
        <w:spacing w:before="0" w:after="0" w:line="440" w:lineRule="exact"/>
        <w:jc w:val="left"/>
        <w:rPr>
          <w:rFonts w:ascii="Times New Roman" w:hAnsi="Times New Roman"/>
          <w:b w:val="0"/>
          <w:sz w:val="24"/>
        </w:rPr>
        <w:sectPr>
          <w:pgSz w:w="11906" w:h="16838"/>
          <w:pgMar w:top="1418" w:right="1418" w:bottom="1418" w:left="1418" w:header="850" w:footer="850" w:gutter="0"/>
          <w:pgNumType w:fmt="numberInDash"/>
          <w:cols w:space="720" w:num="1"/>
          <w:docGrid w:type="lines" w:linePitch="312" w:charSpace="0"/>
        </w:sectPr>
      </w:pPr>
      <w:bookmarkStart w:id="20" w:name="_Toc476346539"/>
      <w:bookmarkStart w:id="21" w:name="_Toc414117645"/>
    </w:p>
    <w:p>
      <w:pPr>
        <w:pStyle w:val="3"/>
        <w:spacing w:before="0" w:after="0" w:line="440" w:lineRule="exact"/>
        <w:rPr>
          <w:rFonts w:ascii="Times New Roman" w:hAnsi="Times New Roman"/>
          <w:bCs w:val="0"/>
          <w:kern w:val="2"/>
          <w:sz w:val="24"/>
          <w:szCs w:val="22"/>
        </w:rPr>
      </w:pPr>
      <w:bookmarkStart w:id="22" w:name="_Toc149641964"/>
      <w:r>
        <w:rPr>
          <w:rFonts w:ascii="Times New Roman" w:hAnsi="Times New Roman"/>
          <w:bCs w:val="0"/>
          <w:kern w:val="2"/>
          <w:sz w:val="32"/>
          <w:szCs w:val="32"/>
        </w:rPr>
        <w:t>3 地块概况</w:t>
      </w:r>
      <w:bookmarkEnd w:id="20"/>
      <w:bookmarkEnd w:id="22"/>
    </w:p>
    <w:p>
      <w:pPr>
        <w:pStyle w:val="116"/>
        <w:rPr>
          <w:rFonts w:ascii="Times New Roman" w:hAnsi="Times New Roman"/>
          <w:sz w:val="24"/>
          <w:szCs w:val="24"/>
        </w:rPr>
      </w:pPr>
      <w:bookmarkStart w:id="23" w:name="_Toc371405010"/>
      <w:bookmarkStart w:id="24" w:name="_Toc476346540"/>
      <w:bookmarkStart w:id="25" w:name="_Toc149641965"/>
      <w:r>
        <w:rPr>
          <w:rFonts w:ascii="Times New Roman" w:hAnsi="Times New Roman" w:eastAsia="宋体"/>
          <w:szCs w:val="28"/>
        </w:rPr>
        <w:t>3.1 区域环境状况</w:t>
      </w:r>
      <w:bookmarkEnd w:id="23"/>
      <w:bookmarkEnd w:id="24"/>
      <w:bookmarkEnd w:id="25"/>
    </w:p>
    <w:p>
      <w:pPr>
        <w:pStyle w:val="116"/>
        <w:outlineLvl w:val="2"/>
        <w:rPr>
          <w:rFonts w:ascii="Times New Roman" w:hAnsi="Times New Roman" w:eastAsia="宋体"/>
          <w:sz w:val="24"/>
        </w:rPr>
      </w:pPr>
      <w:bookmarkStart w:id="26" w:name="_Toc149641966"/>
      <w:bookmarkStart w:id="27" w:name="_Toc476346541"/>
      <w:r>
        <w:rPr>
          <w:rFonts w:ascii="Times New Roman" w:hAnsi="Times New Roman" w:eastAsia="宋体"/>
          <w:sz w:val="24"/>
        </w:rPr>
        <w:t>3.1.1 地理位置</w:t>
      </w:r>
      <w:bookmarkEnd w:id="26"/>
    </w:p>
    <w:p>
      <w:pPr>
        <w:spacing w:line="440" w:lineRule="exact"/>
        <w:ind w:firstLine="480" w:firstLineChars="200"/>
        <w:rPr>
          <w:sz w:val="24"/>
          <w:szCs w:val="24"/>
        </w:rPr>
      </w:pPr>
      <w:r>
        <w:rPr>
          <w:sz w:val="24"/>
          <w:szCs w:val="24"/>
        </w:rPr>
        <w:t>金华市位于浙江省中部，金衢盆地东段，界于东经119°14′~120°47′、北纬28°32′~29°41′之间。东临台州市，西连衢州，南毗丽水，北接杭州、绍兴。市域东西长151km，南北宽129km。金华是全省重要的交通枢纽，已有铁路浙赣线、金温线、金千线，公路330国道、03省道、45省道、杭金衢高速公路、金丽温高速公路、甬金高速公路等在此交汇，交通十分便利。</w:t>
      </w:r>
    </w:p>
    <w:p>
      <w:pPr>
        <w:spacing w:line="440" w:lineRule="exact"/>
        <w:ind w:firstLine="480" w:firstLineChars="200"/>
        <w:rPr>
          <w:sz w:val="24"/>
          <w:szCs w:val="24"/>
        </w:rPr>
      </w:pPr>
      <w:r>
        <w:rPr>
          <w:rFonts w:hint="eastAsia"/>
          <w:sz w:val="24"/>
          <w:szCs w:val="24"/>
        </w:rPr>
        <w:t>婺城区地处浙江省中西部、金衢盆地腹部，东邻金东区，南毗武义县，西和西南连龙游县和遂昌县，北接兰溪市,是全国文明城市、中国优秀旅游城市、国家历史文化名城、中国十佳宜游城市、国家园林城市、金华市的核心区。</w:t>
      </w:r>
    </w:p>
    <w:p>
      <w:pPr>
        <w:spacing w:line="440" w:lineRule="exact"/>
        <w:ind w:firstLine="480" w:firstLineChars="200"/>
        <w:rPr>
          <w:sz w:val="24"/>
          <w:szCs w:val="24"/>
        </w:rPr>
      </w:pPr>
      <w:r>
        <w:rPr>
          <w:sz w:val="24"/>
          <w:szCs w:val="24"/>
        </w:rPr>
        <w:t>金华市婺城区婺城新区单元(ZX-15-01-19)地块占地63950.01m</w:t>
      </w:r>
      <w:r>
        <w:rPr>
          <w:sz w:val="24"/>
          <w:szCs w:val="24"/>
          <w:vertAlign w:val="superscript"/>
        </w:rPr>
        <w:t>2</w:t>
      </w:r>
      <w:r>
        <w:rPr>
          <w:sz w:val="24"/>
          <w:szCs w:val="24"/>
        </w:rPr>
        <w:t>，位于东堰街以东、东俞路以南、金江南街以西、横三路以北，地块</w:t>
      </w:r>
      <w:r>
        <w:rPr>
          <w:rFonts w:hint="eastAsia"/>
          <w:sz w:val="24"/>
          <w:szCs w:val="24"/>
        </w:rPr>
        <w:t>东至东俞村耕地，隔耕地为东俞村；南至东俞村荒地，隔荒地为临江东路；西至东俞村荒地，隔荒地为地表水白沙溪；北至东俞村耕地和池塘</w:t>
      </w:r>
      <w:r>
        <w:rPr>
          <w:sz w:val="24"/>
          <w:szCs w:val="24"/>
        </w:rPr>
        <w:t>，地块中心地理坐标为29.101940°N，119.556952°E。本次调查地块地理位置见图3.1-1。</w:t>
      </w:r>
    </w:p>
    <w:p>
      <w:pPr>
        <w:spacing w:line="360" w:lineRule="auto"/>
        <w:jc w:val="center"/>
        <w:rPr>
          <w:b/>
          <w:sz w:val="24"/>
          <w:szCs w:val="24"/>
        </w:rPr>
      </w:pPr>
      <w:r>
        <mc:AlternateContent>
          <mc:Choice Requires="wps">
            <w:drawing>
              <wp:anchor distT="0" distB="0" distL="114300" distR="114300" simplePos="0" relativeHeight="251661312" behindDoc="0" locked="0" layoutInCell="1" allowOverlap="1">
                <wp:simplePos x="0" y="0"/>
                <wp:positionH relativeFrom="column">
                  <wp:posOffset>929640</wp:posOffset>
                </wp:positionH>
                <wp:positionV relativeFrom="paragraph">
                  <wp:posOffset>925830</wp:posOffset>
                </wp:positionV>
                <wp:extent cx="1017270" cy="308610"/>
                <wp:effectExtent l="13335" t="12065" r="721995" b="260350"/>
                <wp:wrapNone/>
                <wp:docPr id="123" name="自选图形 276"/>
                <wp:cNvGraphicFramePr/>
                <a:graphic xmlns:a="http://schemas.openxmlformats.org/drawingml/2006/main">
                  <a:graphicData uri="http://schemas.microsoft.com/office/word/2010/wordprocessingShape">
                    <wps:wsp>
                      <wps:cNvSpPr>
                        <a:spLocks noChangeArrowheads="1"/>
                      </wps:cNvSpPr>
                      <wps:spPr bwMode="auto">
                        <a:xfrm>
                          <a:off x="0" y="0"/>
                          <a:ext cx="1017270" cy="308610"/>
                        </a:xfrm>
                        <a:prstGeom prst="wedgeRectCallout">
                          <a:avLst>
                            <a:gd name="adj1" fmla="val 120412"/>
                            <a:gd name="adj2" fmla="val 118722"/>
                          </a:avLst>
                        </a:prstGeom>
                        <a:solidFill>
                          <a:srgbClr val="FFFFFF"/>
                        </a:solidFill>
                        <a:ln w="9525">
                          <a:solidFill>
                            <a:srgbClr val="FF0000"/>
                          </a:solidFill>
                          <a:miter lim="800000"/>
                        </a:ln>
                      </wps:spPr>
                      <wps:txbx>
                        <w:txbxContent>
                          <w:p>
                            <w:pPr>
                              <w:jc w:val="center"/>
                              <w:rPr>
                                <w:b/>
                                <w:bCs/>
                                <w:color w:val="FF0000"/>
                              </w:rPr>
                            </w:pPr>
                            <w:r>
                              <w:rPr>
                                <w:rFonts w:hint="eastAsia"/>
                                <w:b/>
                                <w:bCs/>
                                <w:color w:val="FF0000"/>
                              </w:rPr>
                              <w:t>地块所在地</w:t>
                            </w:r>
                          </w:p>
                        </w:txbxContent>
                      </wps:txbx>
                      <wps:bodyPr rot="0" vert="horz" wrap="square" lIns="91440" tIns="45720" rIns="91440" bIns="45720" anchor="t" anchorCtr="0" upright="1">
                        <a:noAutofit/>
                      </wps:bodyPr>
                    </wps:wsp>
                  </a:graphicData>
                </a:graphic>
              </wp:anchor>
            </w:drawing>
          </mc:Choice>
          <mc:Fallback>
            <w:pict>
              <v:shape id="自选图形 276" o:spid="_x0000_s1026" o:spt="61" type="#_x0000_t61" style="position:absolute;left:0pt;margin-left:73.2pt;margin-top:72.9pt;height:24.3pt;width:80.1pt;z-index:251661312;mso-width-relative:page;mso-height-relative:page;" fillcolor="#FFFFFF" filled="t" stroked="t" coordsize="21600,21600" o:gfxdata="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&#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NzgcxjcAAAACwEAAA8AAAAAAAAAAQAgAAAAIgAAAGRy&#10;cy9kb3ducmV2LnhtbFBLAQIUABQAAAAIAIdO4kBsb51scwIAAOMEAAAOAAAAAAAAAAEAIAAAACsB&#10;AABkcnMvZTJvRG9jLnhtbFBLBQYAAAAABgAGAFkBAAAQBgAAAAA=&#10;" adj="36809,36444">
                <v:fill on="t" focussize="0,0"/>
                <v:stroke color="#FF0000" miterlimit="8" joinstyle="miter"/>
                <v:imagedata o:title=""/>
                <o:lock v:ext="edit" aspectratio="f"/>
                <v:textbox>
                  <w:txbxContent>
                    <w:p>
                      <w:pPr>
                        <w:jc w:val="center"/>
                        <w:rPr>
                          <w:b/>
                          <w:bCs/>
                          <w:color w:val="FF0000"/>
                        </w:rPr>
                      </w:pPr>
                      <w:r>
                        <w:rPr>
                          <w:rFonts w:hint="eastAsia"/>
                          <w:b/>
                          <w:bCs/>
                          <w:color w:val="FF0000"/>
                        </w:rPr>
                        <w:t>地块所在地</w:t>
                      </w:r>
                    </w:p>
                  </w:txbxContent>
                </v:textbox>
              </v:shape>
            </w:pict>
          </mc:Fallback>
        </mc:AlternateContent>
      </w:r>
      <w:r>
        <w:pict>
          <v:shape id="Object 350" o:spid="_x0000_s1374" o:spt="75" alt="" type="#_x0000_t75" style="position:absolute;left:0pt;margin-left:399.95pt;margin-top:1.4pt;height:53.25pt;width:52.65pt;z-index:251670528;mso-width-relative:page;mso-height-relative:page;" o:ole="t" filled="f" o:preferrelative="t" stroked="f" coordsize="21600,21600">
            <v:path/>
            <v:fill on="f" focussize="0,0"/>
            <v:stroke on="f"/>
            <v:imagedata r:id="rId16" o:title=""/>
            <o:lock v:ext="edit" aspectratio="t"/>
          </v:shape>
          <o:OLEObject Type="Embed" ProgID="Visio.Drawing.11" ShapeID="Object 350" DrawAspect="Content" ObjectID="_1468075725" r:id="rId15">
            <o:LockedField>false</o:LockedField>
          </o:OLEObject>
        </w:pict>
      </w:r>
      <w:r>
        <mc:AlternateContent>
          <mc:Choice Requires="wps">
            <w:drawing>
              <wp:anchor distT="0" distB="0" distL="114300" distR="114300" simplePos="0" relativeHeight="251662336" behindDoc="0" locked="0" layoutInCell="1" allowOverlap="1">
                <wp:simplePos x="0" y="0"/>
                <wp:positionH relativeFrom="column">
                  <wp:posOffset>2616200</wp:posOffset>
                </wp:positionH>
                <wp:positionV relativeFrom="paragraph">
                  <wp:posOffset>1392555</wp:posOffset>
                </wp:positionV>
                <wp:extent cx="104775" cy="114300"/>
                <wp:effectExtent l="19050" t="28575" r="19050" b="19050"/>
                <wp:wrapNone/>
                <wp:docPr id="122" name="自选图形 648"/>
                <wp:cNvGraphicFramePr/>
                <a:graphic xmlns:a="http://schemas.openxmlformats.org/drawingml/2006/main">
                  <a:graphicData uri="http://schemas.microsoft.com/office/word/2010/wordprocessingShape">
                    <wps:wsp>
                      <wps:cNvSpPr>
                        <a:spLocks noChangeArrowheads="1"/>
                      </wps:cNvSpPr>
                      <wps:spPr bwMode="auto">
                        <a:xfrm>
                          <a:off x="0" y="0"/>
                          <a:ext cx="104775" cy="114300"/>
                        </a:xfrm>
                        <a:prstGeom prst="star5">
                          <a:avLst/>
                        </a:prstGeom>
                        <a:solidFill>
                          <a:srgbClr val="FF0000"/>
                        </a:solidFill>
                        <a:ln w="9525">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shape id="自选图形 648" o:spid="_x0000_s1026" style="position:absolute;left:0pt;margin-left:206pt;margin-top:109.65pt;height:9pt;width:8.25pt;z-index:251662336;mso-width-relative:page;mso-height-relative:page;" fillcolor="#FF0000" filled="t" stroked="t" coordsize="104775,114300" o:gfxdata="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6HmzDcAAAACwEAAA8AAAAAAAAA&#10;AQAgAAAAIgAAAGRycy9kb3ducmV2LnhtbFBLAQIUABQAAAAIAIdO4kCmvLfwRgIAAIcEAAAOAAAA&#10;AAAAAAEAIAAAACsBAABkcnMvZTJvRG9jLnhtbFBLBQYAAAAABgAGAFkBAADjBQAAAAA=&#10;" path="m0,43658l40020,43658,52387,0,64754,43658,104774,43658,72397,70640,84764,114299,52387,87316,20010,114299,32377,70640xe">
                <v:path o:connectlocs="52387,0;0,43658;20010,114299;84764,114299;104774,43658" o:connectangles="247,164,82,82,0"/>
                <v:fill on="t" focussize="0,0"/>
                <v:stroke color="#FF0000" miterlimit="8" joinstyle="miter"/>
                <v:imagedata o:title=""/>
                <o:lock v:ext="edit" aspectratio="f"/>
              </v:shape>
            </w:pict>
          </mc:Fallback>
        </mc:AlternateContent>
      </w:r>
      <w:r>
        <w:drawing>
          <wp:inline distT="0" distB="0" distL="0" distR="0">
            <wp:extent cx="5759450" cy="2938780"/>
            <wp:effectExtent l="0" t="0" r="12700" b="1397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17"/>
                    <a:stretch>
                      <a:fillRect/>
                    </a:stretch>
                  </pic:blipFill>
                  <pic:spPr>
                    <a:xfrm>
                      <a:off x="0" y="0"/>
                      <a:ext cx="5759450" cy="2938780"/>
                    </a:xfrm>
                    <a:prstGeom prst="rect">
                      <a:avLst/>
                    </a:prstGeom>
                  </pic:spPr>
                </pic:pic>
              </a:graphicData>
            </a:graphic>
          </wp:inline>
        </w:drawing>
      </w:r>
    </w:p>
    <w:p>
      <w:pPr>
        <w:spacing w:line="360" w:lineRule="auto"/>
        <w:jc w:val="center"/>
      </w:pPr>
      <w:r>
        <w:rPr>
          <w:b/>
          <w:sz w:val="24"/>
          <w:szCs w:val="24"/>
        </w:rPr>
        <w:t>图3.1-1  地块地理位置示意图</w:t>
      </w:r>
    </w:p>
    <w:p>
      <w:pPr>
        <w:pStyle w:val="116"/>
        <w:outlineLvl w:val="2"/>
        <w:rPr>
          <w:rFonts w:ascii="Times New Roman" w:hAnsi="Times New Roman" w:eastAsia="宋体"/>
          <w:sz w:val="24"/>
        </w:rPr>
      </w:pPr>
      <w:bookmarkStart w:id="28" w:name="_Toc149641967"/>
      <w:r>
        <w:rPr>
          <w:rFonts w:ascii="Times New Roman" w:hAnsi="Times New Roman" w:eastAsia="宋体"/>
          <w:sz w:val="24"/>
        </w:rPr>
        <w:t>3.1.2 地形地貌</w:t>
      </w:r>
      <w:bookmarkEnd w:id="28"/>
    </w:p>
    <w:p>
      <w:pPr>
        <w:spacing w:line="440" w:lineRule="exact"/>
        <w:ind w:firstLine="480" w:firstLineChars="200"/>
        <w:rPr>
          <w:sz w:val="24"/>
          <w:szCs w:val="24"/>
        </w:rPr>
      </w:pPr>
      <w:r>
        <w:rPr>
          <w:sz w:val="24"/>
          <w:szCs w:val="24"/>
        </w:rPr>
        <w:t>金华市地形属浙中丘陵地区，地势南北高而中部低，大体可分为四部分。北山山地，属龙门山脉，主峰为大盘山；南山山区，属仙霞岭山脉，小龙葱尖为最高峰；丘陵界于南北山地与沿江平原之间，多为垂直于盆地边缘的龙岗状丘陵；沿江平原，沿东阳江、武义江和婺江两岸及金华江南侧分存为近代冲击平原，宽窄不等。</w:t>
      </w:r>
    </w:p>
    <w:p>
      <w:pPr>
        <w:spacing w:line="440" w:lineRule="exact"/>
        <w:ind w:firstLine="480" w:firstLineChars="200"/>
        <w:rPr>
          <w:sz w:val="24"/>
          <w:szCs w:val="24"/>
        </w:rPr>
      </w:pPr>
      <w:r>
        <w:rPr>
          <w:sz w:val="24"/>
          <w:szCs w:val="24"/>
        </w:rPr>
        <w:t>金华市属金衢盆地，海拨高度均在百米以下，土壤特征为“酸、瘦、粘”属红壤。耕地4311.7公顷，其中水田3592.9公顷，旱地696.7公顷，园地997.1公顷，林地2509.4公顷。</w:t>
      </w:r>
    </w:p>
    <w:p>
      <w:pPr>
        <w:spacing w:line="440" w:lineRule="exact"/>
        <w:ind w:firstLine="480" w:firstLineChars="200"/>
        <w:rPr>
          <w:sz w:val="24"/>
          <w:szCs w:val="24"/>
        </w:rPr>
      </w:pPr>
      <w:r>
        <w:rPr>
          <w:sz w:val="24"/>
          <w:szCs w:val="24"/>
        </w:rPr>
        <w:t>金华市地处我国东部华夏系一级隆起带上。全省最大的江山——绍兴深断裂带，自西南----东北穿越本市，将该市分为两个大地构造单元；即西北部的钱塘江拗陷区，东南部的浙闽隆地区。市域地质构造复杂，地层岩石分布，周缘山地主要是上侏罗统火山岩；丘陵地区主要是白垩纪红色碎屑岩；沿江平原及盆地底部，表面覆盖着第四系松系变质岩及上古生界地层呈局部零星分布。</w:t>
      </w:r>
    </w:p>
    <w:p>
      <w:pPr>
        <w:pStyle w:val="116"/>
        <w:outlineLvl w:val="2"/>
        <w:rPr>
          <w:rFonts w:ascii="Times New Roman" w:hAnsi="Times New Roman" w:eastAsia="宋体"/>
          <w:sz w:val="24"/>
        </w:rPr>
      </w:pPr>
      <w:bookmarkStart w:id="29" w:name="_Toc149641968"/>
      <w:r>
        <w:rPr>
          <w:rFonts w:ascii="Times New Roman" w:hAnsi="Times New Roman" w:eastAsia="宋体"/>
          <w:sz w:val="24"/>
        </w:rPr>
        <w:t>3.1.3 气候特征</w:t>
      </w:r>
      <w:bookmarkEnd w:id="29"/>
    </w:p>
    <w:p>
      <w:pPr>
        <w:spacing w:line="440" w:lineRule="exact"/>
        <w:ind w:firstLine="480" w:firstLineChars="200"/>
        <w:rPr>
          <w:sz w:val="24"/>
          <w:szCs w:val="24"/>
        </w:rPr>
      </w:pPr>
      <w:r>
        <w:rPr>
          <w:sz w:val="24"/>
          <w:szCs w:val="24"/>
        </w:rPr>
        <w:t>金华市属中亚热带季风气候区，总的气象特征是四季分明、气温适中、日照充足、雨量丰富，年主导风向为北北偏东风。市域降水的地理分布特征是盆地中部少、南北两侧多、东部偏少、西部较多。由于盆地地热影响，气温日差较大，气温垂直分布明显。一般情况春末夏初气温变化不定，雨水集中，时有冰雹大风；盛夏炎热少雨，常有干旱；秋季凉爽、空气湿润、时间段；冬季晴冷干燥。</w:t>
      </w:r>
    </w:p>
    <w:p>
      <w:pPr>
        <w:spacing w:line="440" w:lineRule="exact"/>
        <w:ind w:firstLine="480" w:firstLineChars="200"/>
        <w:rPr>
          <w:sz w:val="24"/>
          <w:szCs w:val="24"/>
        </w:rPr>
      </w:pPr>
      <w:r>
        <w:rPr>
          <w:sz w:val="24"/>
          <w:szCs w:val="24"/>
        </w:rPr>
        <w:t>多年平均气温17.3</w:t>
      </w:r>
      <w:r>
        <w:rPr>
          <w:rFonts w:hint="eastAsia" w:ascii="宋体" w:hAnsi="宋体" w:cs="宋体"/>
          <w:sz w:val="24"/>
          <w:szCs w:val="24"/>
        </w:rPr>
        <w:t>℃</w:t>
      </w:r>
      <w:r>
        <w:rPr>
          <w:sz w:val="24"/>
          <w:szCs w:val="24"/>
        </w:rPr>
        <w:t>，历年极端最高气温41.2</w:t>
      </w:r>
      <w:r>
        <w:rPr>
          <w:rFonts w:hint="eastAsia" w:ascii="宋体" w:hAnsi="宋体" w:cs="宋体"/>
          <w:sz w:val="24"/>
          <w:szCs w:val="24"/>
        </w:rPr>
        <w:t>℃</w:t>
      </w:r>
      <w:r>
        <w:rPr>
          <w:sz w:val="24"/>
          <w:szCs w:val="24"/>
        </w:rPr>
        <w:t>，历年极端最低气温-9.6</w:t>
      </w:r>
      <w:r>
        <w:rPr>
          <w:rFonts w:hint="eastAsia" w:ascii="宋体" w:hAnsi="宋体" w:cs="宋体"/>
          <w:sz w:val="24"/>
          <w:szCs w:val="24"/>
        </w:rPr>
        <w:t>℃</w:t>
      </w:r>
      <w:r>
        <w:rPr>
          <w:sz w:val="24"/>
          <w:szCs w:val="24"/>
        </w:rPr>
        <w:t>，年平均降雨量1394.4mm，年平均相对湿度77%，多年平均风速2.5m/s，年平均降雪日10d，全年日照时数2063h。</w:t>
      </w:r>
    </w:p>
    <w:p>
      <w:pPr>
        <w:pStyle w:val="116"/>
        <w:outlineLvl w:val="2"/>
        <w:rPr>
          <w:rFonts w:ascii="Times New Roman" w:hAnsi="Times New Roman" w:eastAsia="宋体"/>
          <w:sz w:val="24"/>
        </w:rPr>
      </w:pPr>
      <w:bookmarkStart w:id="30" w:name="_Toc149641969"/>
      <w:r>
        <w:rPr>
          <w:rFonts w:ascii="Times New Roman" w:hAnsi="Times New Roman" w:eastAsia="宋体"/>
          <w:sz w:val="24"/>
        </w:rPr>
        <w:t>3.1.4 水文特征</w:t>
      </w:r>
      <w:bookmarkEnd w:id="30"/>
    </w:p>
    <w:p>
      <w:pPr>
        <w:spacing w:line="440" w:lineRule="exact"/>
        <w:ind w:firstLine="480" w:firstLineChars="200"/>
        <w:rPr>
          <w:sz w:val="24"/>
          <w:szCs w:val="24"/>
        </w:rPr>
      </w:pPr>
      <w:r>
        <w:rPr>
          <w:sz w:val="24"/>
          <w:szCs w:val="24"/>
        </w:rPr>
        <w:t>流经金华市的内河主要有钱塘江水系的义乌江和武义江，二江在金华市汇合成金华江，还有呈树枝状分布大小支流数百条，水系十分发达。水量丰富，但河流大多沿构造断裂发育，源短流急，比降大，多为山溪型河流。因此经流季节性变化显著，调节能力差。全市多年平均降水量为164.25亿m</w:t>
      </w:r>
      <w:r>
        <w:rPr>
          <w:sz w:val="24"/>
          <w:szCs w:val="24"/>
          <w:vertAlign w:val="superscript"/>
        </w:rPr>
        <w:t>3</w:t>
      </w:r>
      <w:r>
        <w:rPr>
          <w:sz w:val="24"/>
          <w:szCs w:val="24"/>
        </w:rPr>
        <w:t>，水资源总量达86亿m</w:t>
      </w:r>
      <w:r>
        <w:rPr>
          <w:sz w:val="24"/>
          <w:szCs w:val="24"/>
          <w:vertAlign w:val="superscript"/>
        </w:rPr>
        <w:t>3</w:t>
      </w:r>
      <w:r>
        <w:rPr>
          <w:sz w:val="24"/>
          <w:szCs w:val="24"/>
        </w:rPr>
        <w:t>，其中地表水65.8亿m</w:t>
      </w:r>
      <w:r>
        <w:rPr>
          <w:sz w:val="24"/>
          <w:szCs w:val="24"/>
          <w:vertAlign w:val="superscript"/>
        </w:rPr>
        <w:t>3</w:t>
      </w:r>
      <w:r>
        <w:rPr>
          <w:sz w:val="24"/>
          <w:szCs w:val="24"/>
        </w:rPr>
        <w:t>，地下水20.2亿m</w:t>
      </w:r>
      <w:r>
        <w:rPr>
          <w:sz w:val="24"/>
          <w:szCs w:val="24"/>
          <w:vertAlign w:val="superscript"/>
        </w:rPr>
        <w:t>3</w:t>
      </w:r>
      <w:r>
        <w:rPr>
          <w:sz w:val="24"/>
          <w:szCs w:val="24"/>
        </w:rPr>
        <w:t>。</w:t>
      </w:r>
    </w:p>
    <w:p>
      <w:pPr>
        <w:spacing w:line="440" w:lineRule="exact"/>
        <w:ind w:firstLine="480" w:firstLineChars="200"/>
        <w:rPr>
          <w:sz w:val="24"/>
          <w:szCs w:val="24"/>
        </w:rPr>
      </w:pPr>
      <w:r>
        <w:rPr>
          <w:sz w:val="24"/>
          <w:szCs w:val="24"/>
        </w:rPr>
        <w:t>义乌江蜿蜒于傅村镇境中部，接纳北来航慈溪和孝顺溪后出境，境内孝顺溪源东乡梅村南入境，过洞源水库流经吴宅口、鞋塘，至支家南入孝顺镇，沿途右，纳黄金岭、葛鱼塘，左纳芋立尖诸水，境东有源于源东乡两头塘之水，经畈田洪南流至孝顺镇大湖沿汇入孝顺溪。水资源丰富，利设施较好。</w:t>
      </w:r>
    </w:p>
    <w:p>
      <w:pPr>
        <w:spacing w:line="440" w:lineRule="exact"/>
        <w:ind w:firstLine="480" w:firstLineChars="200"/>
        <w:rPr>
          <w:sz w:val="24"/>
          <w:szCs w:val="24"/>
        </w:rPr>
      </w:pPr>
      <w:r>
        <w:rPr>
          <w:sz w:val="24"/>
          <w:szCs w:val="24"/>
        </w:rPr>
        <w:t>本地块位于金华市</w:t>
      </w:r>
      <w:r>
        <w:rPr>
          <w:rFonts w:hint="eastAsia"/>
          <w:sz w:val="24"/>
          <w:szCs w:val="24"/>
        </w:rPr>
        <w:t>婺城区</w:t>
      </w:r>
      <w:r>
        <w:rPr>
          <w:sz w:val="24"/>
          <w:szCs w:val="24"/>
        </w:rPr>
        <w:t>东堰街以东、东俞路以南、金江南街以西、横三路以北，地表水系主要是</w:t>
      </w:r>
      <w:r>
        <w:rPr>
          <w:rFonts w:hint="eastAsia"/>
          <w:sz w:val="24"/>
          <w:szCs w:val="24"/>
        </w:rPr>
        <w:t>白沙溪</w:t>
      </w:r>
      <w:r>
        <w:rPr>
          <w:sz w:val="24"/>
          <w:szCs w:val="24"/>
        </w:rPr>
        <w:t>。对照《浙江省水功能区、水环境功能区划分方案》(2015.06)，周边水体钱塘145的水质为《地表水环境质量标准》(GB3838-2002)中的</w:t>
      </w:r>
      <w:r>
        <w:rPr>
          <w:rFonts w:hint="eastAsia" w:ascii="宋体" w:hAnsi="宋体" w:cs="宋体"/>
          <w:sz w:val="24"/>
          <w:szCs w:val="24"/>
        </w:rPr>
        <w:t>Ⅲ</w:t>
      </w:r>
      <w:r>
        <w:rPr>
          <w:sz w:val="24"/>
          <w:szCs w:val="24"/>
        </w:rPr>
        <w:t>类标准。</w:t>
      </w:r>
    </w:p>
    <w:p>
      <w:pPr>
        <w:pStyle w:val="116"/>
        <w:outlineLvl w:val="2"/>
        <w:rPr>
          <w:rFonts w:ascii="Times New Roman" w:hAnsi="Times New Roman" w:eastAsia="宋体"/>
          <w:sz w:val="24"/>
        </w:rPr>
      </w:pPr>
      <w:bookmarkStart w:id="31" w:name="_Toc149641970"/>
      <w:r>
        <w:rPr>
          <w:rFonts w:ascii="Times New Roman" w:hAnsi="Times New Roman" w:eastAsia="宋体"/>
          <w:sz w:val="24"/>
        </w:rPr>
        <w:t>3.1.5 土壤与植被</w:t>
      </w:r>
      <w:bookmarkEnd w:id="31"/>
    </w:p>
    <w:p>
      <w:pPr>
        <w:spacing w:line="440" w:lineRule="exact"/>
        <w:ind w:firstLine="480" w:firstLineChars="200"/>
        <w:rPr>
          <w:sz w:val="24"/>
          <w:szCs w:val="24"/>
        </w:rPr>
      </w:pPr>
      <w:r>
        <w:rPr>
          <w:sz w:val="24"/>
          <w:szCs w:val="24"/>
        </w:rPr>
        <w:t>金华市地质构造及岩性比较复杂，土壤类型多样。主要土壤有红壤、黄壤、岩性土、潮土和水稻土等，其中盆地中央地势较为平缓的地区主要为潜育化的水稻土；红壤主要分布在盆地内侧的缓坡台地及周缘的丘陵和低山麓地带；黄壤则主要分布在海拔600m以上的低中山地，土质贫瘠。</w:t>
      </w:r>
    </w:p>
    <w:p>
      <w:pPr>
        <w:spacing w:line="440" w:lineRule="exact"/>
        <w:ind w:firstLine="480" w:firstLineChars="200"/>
        <w:rPr>
          <w:sz w:val="24"/>
          <w:szCs w:val="24"/>
        </w:rPr>
      </w:pPr>
      <w:r>
        <w:rPr>
          <w:sz w:val="24"/>
          <w:szCs w:val="24"/>
        </w:rPr>
        <w:t>金华充沛雨量，日照时数长、有霜期短，很适合植被发展。南、北山森林覆盖率大，低山丘陵树木茂密、树种丰富，植物种类多。主要分布常绿阔叶林和针叶林、落叶阔叶林及几十个品种的竹类，构成常年青的常绿针阔叶林群落和春夏苍翠、秋冬桔黄的阔叶林群落。主要树种有马尾松、黑松、金钱松、柳杉、池杉、湿地松等针叶林，香樟、苦槠、青冈、冬青常绿树和刺槐、枫香、花香、白栎、麻栎、柿等落叶阔叶林；竹类有毛竹、刚竹、孝顺竹、淡竹、箬竹等。还有何首乌、木香、蔷薇、爬山虎等藤本植物，更有茶花、佛手、白兰等名闻全国。金华享有“中国花卉之乡”之美誉。植被结构多样性，且动物种类也十分繁多。</w:t>
      </w:r>
    </w:p>
    <w:p>
      <w:pPr>
        <w:pStyle w:val="116"/>
        <w:outlineLvl w:val="2"/>
        <w:rPr>
          <w:rFonts w:ascii="Times New Roman" w:hAnsi="Times New Roman" w:eastAsia="宋体"/>
          <w:szCs w:val="28"/>
        </w:rPr>
      </w:pPr>
      <w:bookmarkStart w:id="32" w:name="_Toc149641971"/>
      <w:r>
        <w:rPr>
          <w:rFonts w:ascii="Times New Roman" w:hAnsi="Times New Roman" w:eastAsia="宋体"/>
          <w:sz w:val="24"/>
        </w:rPr>
        <w:t>3.1.6 地块的地质和水文地质条件</w:t>
      </w:r>
      <w:bookmarkEnd w:id="32"/>
    </w:p>
    <w:p>
      <w:pPr>
        <w:spacing w:line="440" w:lineRule="exact"/>
        <w:ind w:firstLine="480" w:firstLineChars="200"/>
        <w:rPr>
          <w:sz w:val="24"/>
          <w:szCs w:val="24"/>
        </w:rPr>
      </w:pPr>
      <w:r>
        <w:rPr>
          <w:sz w:val="24"/>
          <w:szCs w:val="24"/>
        </w:rPr>
        <w:t>本次地块调查地块地质和水文地质资料引用《</w:t>
      </w:r>
      <w:r>
        <w:rPr>
          <w:rFonts w:hint="eastAsia"/>
          <w:sz w:val="24"/>
          <w:szCs w:val="24"/>
        </w:rPr>
        <w:t>金华市婺城区婺城新区单元(ZX-15-01-19)地块建筑用砂矿地质勘查报告</w:t>
      </w:r>
      <w:r>
        <w:rPr>
          <w:sz w:val="24"/>
          <w:szCs w:val="24"/>
        </w:rPr>
        <w:t>》资料。</w:t>
      </w:r>
    </w:p>
    <w:p>
      <w:pPr>
        <w:pStyle w:val="116"/>
        <w:outlineLvl w:val="3"/>
        <w:rPr>
          <w:rFonts w:ascii="Times New Roman" w:hAnsi="Times New Roman" w:eastAsia="宋体"/>
          <w:b w:val="0"/>
          <w:sz w:val="24"/>
        </w:rPr>
      </w:pPr>
      <w:bookmarkStart w:id="33" w:name="_Toc135942655"/>
      <w:bookmarkStart w:id="34" w:name="_Toc149641972"/>
      <w:bookmarkStart w:id="35" w:name="_Toc106724484"/>
      <w:r>
        <w:rPr>
          <w:rFonts w:ascii="Times New Roman" w:hAnsi="Times New Roman" w:eastAsia="宋体"/>
          <w:b w:val="0"/>
          <w:sz w:val="24"/>
        </w:rPr>
        <w:t>3.1.6.1</w:t>
      </w:r>
      <w:r>
        <w:rPr>
          <w:rFonts w:ascii="Times New Roman" w:hAnsi="Times New Roman" w:eastAsia="宋体"/>
          <w:b w:val="0"/>
          <w:sz w:val="24"/>
          <w:szCs w:val="24"/>
        </w:rPr>
        <w:t>地块</w:t>
      </w:r>
      <w:r>
        <w:rPr>
          <w:rFonts w:ascii="Times New Roman" w:hAnsi="Times New Roman" w:eastAsia="宋体"/>
          <w:b w:val="0"/>
          <w:sz w:val="24"/>
        </w:rPr>
        <w:t>工程地质条件</w:t>
      </w:r>
      <w:bookmarkEnd w:id="33"/>
      <w:bookmarkEnd w:id="34"/>
      <w:bookmarkEnd w:id="35"/>
    </w:p>
    <w:p>
      <w:pPr>
        <w:spacing w:line="440" w:lineRule="exact"/>
        <w:ind w:firstLine="480" w:firstLineChars="200"/>
        <w:rPr>
          <w:sz w:val="24"/>
          <w:szCs w:val="24"/>
        </w:rPr>
      </w:pPr>
      <w:r>
        <w:rPr>
          <w:rFonts w:hint="eastAsia"/>
          <w:sz w:val="24"/>
          <w:szCs w:val="24"/>
        </w:rPr>
        <w:t>地块内有堆填土，紫红色，主要以风化粉砂岩岩块为主，场地地形有一定起伏，海拔高度在+32.30m～+38.21m，相对高差5.91m。经钻孔揭露地块内地层岩性主要分布第四系素填土、冲洪积层及白垩系上统金华组。</w:t>
      </w:r>
    </w:p>
    <w:p>
      <w:pPr>
        <w:spacing w:line="440" w:lineRule="exact"/>
        <w:ind w:firstLine="480" w:firstLineChars="200"/>
        <w:rPr>
          <w:sz w:val="24"/>
          <w:szCs w:val="24"/>
        </w:rPr>
      </w:pPr>
      <w:r>
        <w:rPr>
          <w:rFonts w:hint="eastAsia"/>
          <w:sz w:val="24"/>
          <w:szCs w:val="24"/>
        </w:rPr>
        <w:t>1、人工填土层——①层①层：素填土(mlQ4)杂、紫红色，稍湿，松散，成分为粘性土为主，风化岩块次之，均匀性差。土石等级为三类土。该层分布不稳定，主要分布108个钻孔。层顶高程33.56～38.21m，层厚0.40～9.50m，平均厚度1.93m。</w:t>
      </w:r>
    </w:p>
    <w:p>
      <w:pPr>
        <w:spacing w:line="440" w:lineRule="exact"/>
        <w:ind w:firstLine="480" w:firstLineChars="200"/>
        <w:rPr>
          <w:sz w:val="24"/>
          <w:szCs w:val="24"/>
        </w:rPr>
      </w:pPr>
      <w:r>
        <w:rPr>
          <w:rFonts w:hint="eastAsia"/>
          <w:sz w:val="24"/>
          <w:szCs w:val="24"/>
        </w:rPr>
        <w:t>2、第四系上更新统冲洪积层(al+plQ3)——②层根据钻孔揭露，该层从上到下可分为②-1、②-2二个亚层。</w:t>
      </w:r>
    </w:p>
    <w:p>
      <w:pPr>
        <w:spacing w:line="440" w:lineRule="exact"/>
        <w:ind w:firstLine="480" w:firstLineChars="200"/>
        <w:rPr>
          <w:sz w:val="24"/>
          <w:szCs w:val="24"/>
        </w:rPr>
      </w:pPr>
      <w:r>
        <w:rPr>
          <w:rFonts w:hint="eastAsia"/>
          <w:sz w:val="24"/>
          <w:szCs w:val="24"/>
        </w:rPr>
        <w:t>②-1层：淤泥(al+plQ3)</w:t>
      </w:r>
    </w:p>
    <w:p>
      <w:pPr>
        <w:spacing w:line="440" w:lineRule="exact"/>
        <w:ind w:firstLine="480" w:firstLineChars="200"/>
        <w:rPr>
          <w:sz w:val="24"/>
          <w:szCs w:val="24"/>
        </w:rPr>
      </w:pPr>
      <w:r>
        <w:rPr>
          <w:rFonts w:hint="eastAsia"/>
          <w:sz w:val="24"/>
          <w:szCs w:val="24"/>
        </w:rPr>
        <w:t>灰黑色，流塑-软塑，为塘底沉积物，含有机质，具臭味，高灵敏度，切面无光泽反应，干强度较低，韧性较低，属高压缩性土。土石类别为一类土。该层主要分布已被填埋的水塘地段。层顶高程32.30～32.83m，层厚0.70～0.90m，平均厚度0.80m。</w:t>
      </w:r>
    </w:p>
    <w:p>
      <w:pPr>
        <w:spacing w:line="440" w:lineRule="exact"/>
        <w:ind w:firstLine="480" w:firstLineChars="200"/>
        <w:rPr>
          <w:sz w:val="24"/>
          <w:szCs w:val="24"/>
        </w:rPr>
      </w:pPr>
      <w:r>
        <w:rPr>
          <w:rFonts w:hint="eastAsia"/>
          <w:sz w:val="24"/>
          <w:szCs w:val="24"/>
        </w:rPr>
        <w:t>②-2层：圆砾(al+plQ3)</w:t>
      </w:r>
    </w:p>
    <w:p>
      <w:pPr>
        <w:spacing w:line="440" w:lineRule="exact"/>
        <w:ind w:firstLine="480" w:firstLineChars="200"/>
        <w:rPr>
          <w:sz w:val="24"/>
          <w:szCs w:val="24"/>
        </w:rPr>
      </w:pPr>
      <w:r>
        <w:rPr>
          <w:rFonts w:hint="eastAsia"/>
          <w:sz w:val="24"/>
          <w:szCs w:val="24"/>
        </w:rPr>
        <w:t>黄褐色、灰褐色，饱和，稍密为主，局部中密。砾石成分主要为火山岩，呈次圆形，砾石间为砂粒、粉粒少量充填。颗分结果平均含量：卵石(＞20mm)为36.73%、砾石(粒径20～2mm)为29.94%、砂粒(粒径2～0.075mm)为19.78%、粉粒和粘(粒径＜0.075mm)为13.54%。土石类别为三类土。层顶埋深0.40～8.50m，层顶高程28.53～37.51m，层厚0.50～6.00m，平均厚度为5.23m。由于取样扰动，样品中粉粒及粘粒会有一定的流失，砂石矿矿体中实际粉粒及粘粒含量具有大于颗粒分析试验结果的风险。</w:t>
      </w:r>
    </w:p>
    <w:p>
      <w:pPr>
        <w:spacing w:line="440" w:lineRule="exact"/>
        <w:ind w:firstLine="480" w:firstLineChars="200"/>
        <w:rPr>
          <w:sz w:val="24"/>
          <w:szCs w:val="24"/>
        </w:rPr>
      </w:pPr>
      <w:r>
        <w:rPr>
          <w:rFonts w:hint="eastAsia"/>
          <w:sz w:val="24"/>
          <w:szCs w:val="24"/>
        </w:rPr>
        <w:t>3、白垩系上统金华组(K2j)——③层</w:t>
      </w:r>
    </w:p>
    <w:p>
      <w:pPr>
        <w:spacing w:line="440" w:lineRule="exact"/>
        <w:ind w:firstLine="480" w:firstLineChars="200"/>
        <w:rPr>
          <w:sz w:val="24"/>
          <w:szCs w:val="24"/>
        </w:rPr>
      </w:pPr>
      <w:r>
        <w:rPr>
          <w:rFonts w:hint="eastAsia"/>
          <w:sz w:val="24"/>
          <w:szCs w:val="24"/>
        </w:rPr>
        <w:t>③层强风化粉砂岩(K2j)</w:t>
      </w:r>
    </w:p>
    <w:p>
      <w:pPr>
        <w:spacing w:line="440" w:lineRule="exact"/>
        <w:ind w:firstLine="480" w:firstLineChars="200"/>
        <w:rPr>
          <w:sz w:val="24"/>
          <w:szCs w:val="24"/>
        </w:rPr>
      </w:pPr>
      <w:r>
        <w:rPr>
          <w:rFonts w:hint="eastAsia"/>
          <w:sz w:val="24"/>
          <w:szCs w:val="24"/>
        </w:rPr>
        <w:t>紫红色，粉砂状结构，钙泥质胶结。因胶结物中泥质及钙质含量不同，岩石强度有一定差异，泥质含量高岩石强度相对较软，钙质含量高者岩石强度较高。因强风化，风化裂隙发育，岩芯上部表层呈碎屑状、土状，往下呈碎块状、块状，裂隙面上见有氧化铁锰质。分布稳定。层顶埋深3.30～9.50m，层顶高程26.71～32.11m，控制厚度0.70～1.40m, 平均厚度1.11m。</w:t>
      </w:r>
    </w:p>
    <w:p>
      <w:pPr>
        <w:pStyle w:val="2"/>
        <w:jc w:val="center"/>
      </w:pPr>
      <w:r>
        <w:drawing>
          <wp:inline distT="0" distB="0" distL="0" distR="0">
            <wp:extent cx="5759450" cy="8138795"/>
            <wp:effectExtent l="0" t="0" r="12700" b="14605"/>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noChangeArrowheads="1"/>
                    </pic:cNvPicPr>
                  </pic:nvPicPr>
                  <pic:blipFill>
                    <a:blip r:embed="rId18"/>
                    <a:srcRect/>
                    <a:stretch>
                      <a:fillRect/>
                    </a:stretch>
                  </pic:blipFill>
                  <pic:spPr>
                    <a:xfrm>
                      <a:off x="0" y="0"/>
                      <a:ext cx="5759450" cy="8138795"/>
                    </a:xfrm>
                    <a:prstGeom prst="rect">
                      <a:avLst/>
                    </a:prstGeom>
                    <a:noFill/>
                    <a:ln>
                      <a:noFill/>
                    </a:ln>
                  </pic:spPr>
                </pic:pic>
              </a:graphicData>
            </a:graphic>
          </wp:inline>
        </w:drawing>
      </w:r>
    </w:p>
    <w:p>
      <w:pPr>
        <w:pStyle w:val="2"/>
        <w:jc w:val="center"/>
        <w:rPr>
          <w:rFonts w:ascii="Times New Roman" w:hAnsi="Times New Roman"/>
        </w:rPr>
      </w:pPr>
      <w:r>
        <w:rPr>
          <w:rFonts w:ascii="Times New Roman" w:hAnsi="Times New Roman"/>
          <w:b/>
          <w:sz w:val="24"/>
        </w:rPr>
        <w:t xml:space="preserve">图3.1-2  </w:t>
      </w:r>
      <w:r>
        <w:rPr>
          <w:rFonts w:ascii="Times New Roman" w:hAnsi="Times New Roman"/>
          <w:b/>
          <w:sz w:val="24"/>
          <w:szCs w:val="24"/>
        </w:rPr>
        <w:t>地块</w:t>
      </w:r>
      <w:r>
        <w:rPr>
          <w:rFonts w:ascii="Times New Roman" w:hAnsi="Times New Roman"/>
          <w:b/>
          <w:sz w:val="24"/>
        </w:rPr>
        <w:t>勘探点平面位置图</w:t>
      </w:r>
    </w:p>
    <w:p>
      <w:pPr>
        <w:pStyle w:val="2"/>
        <w:rPr>
          <w:rFonts w:ascii="Times New Roman" w:hAnsi="Times New Roman"/>
        </w:rPr>
        <w:sectPr>
          <w:pgSz w:w="11906" w:h="16838"/>
          <w:pgMar w:top="1418" w:right="1418" w:bottom="1418" w:left="1418" w:header="850" w:footer="850" w:gutter="0"/>
          <w:pgNumType w:fmt="numberInDash"/>
          <w:cols w:space="720" w:num="1"/>
          <w:docGrid w:type="lines" w:linePitch="312" w:charSpace="0"/>
        </w:sectPr>
      </w:pPr>
    </w:p>
    <w:p>
      <w:pPr>
        <w:spacing w:line="360" w:lineRule="auto"/>
        <w:jc w:val="center"/>
      </w:pPr>
      <w:r>
        <w:drawing>
          <wp:inline distT="0" distB="0" distL="0" distR="0">
            <wp:extent cx="5888990" cy="2519680"/>
            <wp:effectExtent l="0" t="0" r="16510" b="1397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19"/>
                    <a:stretch>
                      <a:fillRect/>
                    </a:stretch>
                  </pic:blipFill>
                  <pic:spPr>
                    <a:xfrm>
                      <a:off x="0" y="0"/>
                      <a:ext cx="5888990" cy="2519680"/>
                    </a:xfrm>
                    <a:prstGeom prst="rect">
                      <a:avLst/>
                    </a:prstGeom>
                  </pic:spPr>
                </pic:pic>
              </a:graphicData>
            </a:graphic>
          </wp:inline>
        </w:drawing>
      </w:r>
    </w:p>
    <w:p>
      <w:pPr>
        <w:spacing w:line="360" w:lineRule="auto"/>
        <w:jc w:val="center"/>
        <w:rPr>
          <w:b/>
          <w:sz w:val="24"/>
        </w:rPr>
      </w:pPr>
      <w:r>
        <w:drawing>
          <wp:inline distT="0" distB="0" distL="0" distR="0">
            <wp:extent cx="5896610" cy="2519680"/>
            <wp:effectExtent l="0" t="0" r="8890" b="1397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20"/>
                    <a:stretch>
                      <a:fillRect/>
                    </a:stretch>
                  </pic:blipFill>
                  <pic:spPr>
                    <a:xfrm>
                      <a:off x="0" y="0"/>
                      <a:ext cx="5896610" cy="2519680"/>
                    </a:xfrm>
                    <a:prstGeom prst="rect">
                      <a:avLst/>
                    </a:prstGeom>
                  </pic:spPr>
                </pic:pic>
              </a:graphicData>
            </a:graphic>
          </wp:inline>
        </w:drawing>
      </w:r>
    </w:p>
    <w:p>
      <w:pPr>
        <w:spacing w:line="360" w:lineRule="auto"/>
        <w:jc w:val="center"/>
      </w:pPr>
      <w:r>
        <w:rPr>
          <w:b/>
          <w:sz w:val="24"/>
        </w:rPr>
        <w:t>图3.1-3  地质剖面图</w:t>
      </w:r>
    </w:p>
    <w:p>
      <w:pPr>
        <w:pStyle w:val="2"/>
      </w:pPr>
    </w:p>
    <w:p>
      <w:pPr>
        <w:spacing w:line="360" w:lineRule="auto"/>
        <w:jc w:val="center"/>
        <w:sectPr>
          <w:pgSz w:w="16838" w:h="11906" w:orient="landscape"/>
          <w:pgMar w:top="1418" w:right="1418" w:bottom="1418" w:left="1418" w:header="850" w:footer="850" w:gutter="0"/>
          <w:pgNumType w:fmt="numberInDash"/>
          <w:cols w:space="720" w:num="1"/>
          <w:docGrid w:type="lines" w:linePitch="312" w:charSpace="0"/>
        </w:sectPr>
      </w:pPr>
    </w:p>
    <w:p>
      <w:pPr>
        <w:pStyle w:val="116"/>
        <w:outlineLvl w:val="3"/>
        <w:rPr>
          <w:rFonts w:ascii="Times New Roman" w:hAnsi="Times New Roman" w:eastAsia="宋体"/>
          <w:b w:val="0"/>
          <w:sz w:val="24"/>
        </w:rPr>
      </w:pPr>
      <w:bookmarkStart w:id="36" w:name="_Toc149641973"/>
      <w:r>
        <w:rPr>
          <w:rFonts w:ascii="Times New Roman" w:hAnsi="Times New Roman" w:eastAsia="宋体"/>
          <w:b w:val="0"/>
          <w:sz w:val="24"/>
        </w:rPr>
        <w:t>3.1.6.2</w:t>
      </w:r>
      <w:r>
        <w:rPr>
          <w:rFonts w:ascii="Times New Roman" w:hAnsi="Times New Roman" w:eastAsia="宋体"/>
          <w:b w:val="0"/>
          <w:sz w:val="24"/>
          <w:szCs w:val="24"/>
        </w:rPr>
        <w:t>地块</w:t>
      </w:r>
      <w:r>
        <w:rPr>
          <w:rFonts w:hint="eastAsia" w:ascii="Times New Roman" w:hAnsi="Times New Roman" w:eastAsia="宋体"/>
          <w:b w:val="0"/>
          <w:sz w:val="24"/>
        </w:rPr>
        <w:t>水文</w:t>
      </w:r>
      <w:r>
        <w:rPr>
          <w:rFonts w:ascii="Times New Roman" w:hAnsi="Times New Roman" w:eastAsia="宋体"/>
          <w:b w:val="0"/>
          <w:sz w:val="24"/>
        </w:rPr>
        <w:t>地质条件</w:t>
      </w:r>
      <w:bookmarkEnd w:id="36"/>
    </w:p>
    <w:p>
      <w:pPr>
        <w:spacing w:line="440" w:lineRule="exact"/>
        <w:ind w:firstLine="480" w:firstLineChars="200"/>
        <w:rPr>
          <w:sz w:val="24"/>
          <w:szCs w:val="24"/>
        </w:rPr>
      </w:pPr>
      <w:r>
        <w:rPr>
          <w:sz w:val="24"/>
          <w:szCs w:val="24"/>
        </w:rPr>
        <w:t>勘查区位于白沙溪</w:t>
      </w:r>
      <w:r>
        <w:rPr>
          <w:rFonts w:hint="eastAsia"/>
          <w:sz w:val="24"/>
          <w:szCs w:val="24"/>
        </w:rPr>
        <w:t>东</w:t>
      </w:r>
      <w:r>
        <w:rPr>
          <w:sz w:val="24"/>
          <w:szCs w:val="24"/>
        </w:rPr>
        <w:t>侧最近约100m处，常年流水，且水位受季节性降水影响。旱季水位较低，雨季水位较高、水流平缓，丰水年和枯水年的变差幅度较大。勘查区地形为冲洪积河漫滩，地形平缓。</w:t>
      </w:r>
    </w:p>
    <w:p>
      <w:pPr>
        <w:spacing w:line="440" w:lineRule="exact"/>
        <w:ind w:firstLine="480" w:firstLineChars="200"/>
        <w:rPr>
          <w:sz w:val="24"/>
          <w:szCs w:val="24"/>
        </w:rPr>
      </w:pPr>
      <w:r>
        <w:rPr>
          <w:sz w:val="24"/>
          <w:szCs w:val="24"/>
        </w:rPr>
        <w:t>区内地下水类型主要为第四系松散岩类孔隙潜水，含水岩组岩性为第四系冲洪积圆砾层，结构松散-稍密。地下水赋存于圆砾层孔隙中，主要接受大气降水补给，丰水期可能接受地表水侧向补给，动态变化大，单井涌水量一般小于1000吨/日，富水性弱－中等。</w:t>
      </w:r>
    </w:p>
    <w:p>
      <w:pPr>
        <w:spacing w:line="440" w:lineRule="exact"/>
        <w:ind w:firstLine="480" w:firstLineChars="200"/>
        <w:rPr>
          <w:sz w:val="24"/>
          <w:szCs w:val="24"/>
        </w:rPr>
      </w:pPr>
      <w:r>
        <w:rPr>
          <w:sz w:val="24"/>
          <w:szCs w:val="24"/>
        </w:rPr>
        <w:t>勘查区实测稳定水位在+30.60m~+36.33m之间，矿体基本位于稳定水位以下。</w:t>
      </w:r>
    </w:p>
    <w:p>
      <w:pPr>
        <w:spacing w:line="440" w:lineRule="exact"/>
        <w:ind w:firstLine="480" w:firstLineChars="200"/>
        <w:rPr>
          <w:sz w:val="24"/>
          <w:szCs w:val="24"/>
        </w:rPr>
      </w:pPr>
      <w:r>
        <w:rPr>
          <w:sz w:val="24"/>
          <w:szCs w:val="24"/>
        </w:rPr>
        <w:t>勘查区水文地质条件属中等复杂类型。</w:t>
      </w:r>
    </w:p>
    <w:p>
      <w:pPr>
        <w:spacing w:line="440" w:lineRule="exact"/>
        <w:jc w:val="center"/>
        <w:rPr>
          <w:b/>
          <w:sz w:val="24"/>
          <w:szCs w:val="24"/>
        </w:rPr>
      </w:pPr>
      <w:r>
        <w:rPr>
          <w:b/>
          <w:sz w:val="24"/>
          <w:szCs w:val="24"/>
        </w:rPr>
        <w:t xml:space="preserve">表3.1-1  </w:t>
      </w:r>
      <w:r>
        <w:rPr>
          <w:rFonts w:hint="eastAsia"/>
          <w:b/>
          <w:sz w:val="24"/>
          <w:szCs w:val="24"/>
        </w:rPr>
        <w:t>钻孔稳定水位一览表</w:t>
      </w:r>
    </w:p>
    <w:tbl>
      <w:tblPr>
        <w:tblStyle w:val="26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7"/>
        <w:gridCol w:w="1826"/>
        <w:gridCol w:w="1599"/>
        <w:gridCol w:w="1462"/>
        <w:gridCol w:w="908"/>
        <w:gridCol w:w="908"/>
        <w:gridCol w:w="838"/>
        <w:gridCol w:w="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451" w:type="pct"/>
            <w:vMerge w:val="restart"/>
            <w:vAlign w:val="center"/>
          </w:tcPr>
          <w:p>
            <w:pPr>
              <w:widowControl/>
              <w:adjustRightInd w:val="0"/>
              <w:snapToGrid w:val="0"/>
              <w:jc w:val="center"/>
              <w:rPr>
                <w:rFonts w:eastAsia="Times New Roman"/>
                <w:b/>
                <w:bCs/>
                <w:sz w:val="21"/>
                <w:szCs w:val="21"/>
              </w:rPr>
            </w:pPr>
            <w:r>
              <w:rPr>
                <w:rFonts w:eastAsia="Times New Roman"/>
                <w:b/>
                <w:bCs/>
                <w:sz w:val="21"/>
                <w:szCs w:val="21"/>
              </w:rPr>
              <w:t>编号</w:t>
            </w:r>
          </w:p>
        </w:tc>
        <w:tc>
          <w:tcPr>
            <w:tcW w:w="983" w:type="pct"/>
            <w:vMerge w:val="restart"/>
            <w:vAlign w:val="center"/>
          </w:tcPr>
          <w:p>
            <w:pPr>
              <w:widowControl/>
              <w:adjustRightInd w:val="0"/>
              <w:snapToGrid w:val="0"/>
              <w:jc w:val="center"/>
              <w:rPr>
                <w:rFonts w:eastAsia="Times New Roman"/>
                <w:b/>
                <w:bCs/>
                <w:sz w:val="21"/>
                <w:szCs w:val="21"/>
              </w:rPr>
            </w:pPr>
            <w:r>
              <w:rPr>
                <w:rFonts w:hint="eastAsia" w:ascii="宋体" w:hAnsi="宋体" w:eastAsia="Times New Roman" w:cs="宋体"/>
                <w:b/>
                <w:bCs/>
                <w:sz w:val="21"/>
                <w:szCs w:val="21"/>
              </w:rPr>
              <w:t>类型</w:t>
            </w:r>
          </w:p>
        </w:tc>
        <w:tc>
          <w:tcPr>
            <w:tcW w:w="1648" w:type="pct"/>
            <w:gridSpan w:val="2"/>
            <w:vMerge w:val="restart"/>
            <w:vAlign w:val="center"/>
          </w:tcPr>
          <w:p>
            <w:pPr>
              <w:widowControl/>
              <w:adjustRightInd w:val="0"/>
              <w:snapToGrid w:val="0"/>
              <w:jc w:val="center"/>
              <w:rPr>
                <w:rFonts w:eastAsia="Times New Roman"/>
                <w:b/>
                <w:bCs/>
                <w:sz w:val="21"/>
                <w:szCs w:val="21"/>
              </w:rPr>
            </w:pPr>
            <w:r>
              <w:rPr>
                <w:rFonts w:hint="eastAsia" w:ascii="宋体" w:hAnsi="宋体" w:eastAsia="Times New Roman" w:cs="宋体"/>
                <w:b/>
                <w:bCs/>
                <w:sz w:val="21"/>
                <w:szCs w:val="21"/>
              </w:rPr>
              <w:t>坐标位置</w:t>
            </w:r>
          </w:p>
        </w:tc>
        <w:tc>
          <w:tcPr>
            <w:tcW w:w="489" w:type="pct"/>
            <w:vMerge w:val="restart"/>
            <w:vAlign w:val="center"/>
          </w:tcPr>
          <w:p>
            <w:pPr>
              <w:widowControl/>
              <w:adjustRightInd w:val="0"/>
              <w:snapToGrid w:val="0"/>
              <w:jc w:val="center"/>
              <w:rPr>
                <w:rFonts w:eastAsia="Times New Roman"/>
                <w:b/>
                <w:bCs/>
                <w:sz w:val="21"/>
                <w:szCs w:val="21"/>
              </w:rPr>
            </w:pPr>
            <w:r>
              <w:rPr>
                <w:rFonts w:hint="eastAsia" w:ascii="宋体" w:hAnsi="宋体" w:eastAsia="Times New Roman" w:cs="宋体"/>
                <w:b/>
                <w:bCs/>
                <w:sz w:val="21"/>
                <w:szCs w:val="21"/>
              </w:rPr>
              <w:t>高程</w:t>
            </w:r>
          </w:p>
        </w:tc>
        <w:tc>
          <w:tcPr>
            <w:tcW w:w="489" w:type="pct"/>
            <w:vMerge w:val="restart"/>
            <w:vAlign w:val="center"/>
          </w:tcPr>
          <w:p>
            <w:pPr>
              <w:widowControl/>
              <w:adjustRightInd w:val="0"/>
              <w:snapToGrid w:val="0"/>
              <w:jc w:val="center"/>
              <w:rPr>
                <w:rFonts w:eastAsia="Times New Roman"/>
                <w:b/>
                <w:bCs/>
                <w:sz w:val="21"/>
                <w:szCs w:val="21"/>
              </w:rPr>
            </w:pPr>
            <w:r>
              <w:rPr>
                <w:rFonts w:hint="eastAsia" w:ascii="宋体" w:hAnsi="宋体" w:eastAsia="Times New Roman" w:cs="宋体"/>
                <w:b/>
                <w:bCs/>
                <w:sz w:val="21"/>
                <w:szCs w:val="21"/>
              </w:rPr>
              <w:t>孔深</w:t>
            </w:r>
          </w:p>
        </w:tc>
        <w:tc>
          <w:tcPr>
            <w:tcW w:w="940" w:type="pct"/>
            <w:gridSpan w:val="2"/>
            <w:vAlign w:val="center"/>
          </w:tcPr>
          <w:p>
            <w:pPr>
              <w:widowControl/>
              <w:adjustRightInd w:val="0"/>
              <w:snapToGrid w:val="0"/>
              <w:jc w:val="center"/>
              <w:rPr>
                <w:rFonts w:eastAsia="Times New Roman"/>
                <w:b/>
                <w:bCs/>
                <w:sz w:val="21"/>
                <w:szCs w:val="21"/>
              </w:rPr>
            </w:pPr>
            <w:r>
              <w:rPr>
                <w:rFonts w:hint="eastAsia" w:ascii="宋体" w:hAnsi="宋体" w:eastAsia="Times New Roman" w:cs="宋体"/>
                <w:b/>
                <w:bCs/>
                <w:sz w:val="21"/>
                <w:szCs w:val="21"/>
              </w:rPr>
              <w:t>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451" w:type="pct"/>
            <w:vMerge w:val="continue"/>
            <w:vAlign w:val="center"/>
          </w:tcPr>
          <w:p>
            <w:pPr>
              <w:widowControl/>
              <w:adjustRightInd w:val="0"/>
              <w:snapToGrid w:val="0"/>
              <w:jc w:val="center"/>
              <w:rPr>
                <w:rFonts w:eastAsia="Times New Roman"/>
                <w:b/>
                <w:bCs/>
                <w:sz w:val="21"/>
                <w:szCs w:val="21"/>
              </w:rPr>
            </w:pPr>
          </w:p>
        </w:tc>
        <w:tc>
          <w:tcPr>
            <w:tcW w:w="983" w:type="pct"/>
            <w:vMerge w:val="continue"/>
            <w:vAlign w:val="center"/>
          </w:tcPr>
          <w:p>
            <w:pPr>
              <w:widowControl/>
              <w:adjustRightInd w:val="0"/>
              <w:snapToGrid w:val="0"/>
              <w:jc w:val="center"/>
              <w:rPr>
                <w:rFonts w:eastAsia="Times New Roman"/>
                <w:b/>
                <w:bCs/>
                <w:sz w:val="21"/>
                <w:szCs w:val="21"/>
              </w:rPr>
            </w:pPr>
          </w:p>
        </w:tc>
        <w:tc>
          <w:tcPr>
            <w:tcW w:w="1648" w:type="pct"/>
            <w:gridSpan w:val="2"/>
            <w:vMerge w:val="continue"/>
            <w:vAlign w:val="center"/>
          </w:tcPr>
          <w:p>
            <w:pPr>
              <w:widowControl/>
              <w:adjustRightInd w:val="0"/>
              <w:snapToGrid w:val="0"/>
              <w:jc w:val="center"/>
              <w:rPr>
                <w:rFonts w:eastAsia="Times New Roman"/>
                <w:b/>
                <w:bCs/>
                <w:sz w:val="21"/>
                <w:szCs w:val="21"/>
              </w:rPr>
            </w:pPr>
          </w:p>
        </w:tc>
        <w:tc>
          <w:tcPr>
            <w:tcW w:w="489" w:type="pct"/>
            <w:vMerge w:val="continue"/>
            <w:vAlign w:val="center"/>
          </w:tcPr>
          <w:p>
            <w:pPr>
              <w:widowControl/>
              <w:adjustRightInd w:val="0"/>
              <w:snapToGrid w:val="0"/>
              <w:jc w:val="center"/>
              <w:rPr>
                <w:rFonts w:eastAsia="Times New Roman"/>
                <w:b/>
                <w:bCs/>
                <w:sz w:val="21"/>
                <w:szCs w:val="21"/>
              </w:rPr>
            </w:pPr>
          </w:p>
        </w:tc>
        <w:tc>
          <w:tcPr>
            <w:tcW w:w="489" w:type="pct"/>
            <w:vMerge w:val="continue"/>
            <w:vAlign w:val="center"/>
          </w:tcPr>
          <w:p>
            <w:pPr>
              <w:widowControl/>
              <w:adjustRightInd w:val="0"/>
              <w:snapToGrid w:val="0"/>
              <w:jc w:val="center"/>
              <w:rPr>
                <w:rFonts w:eastAsia="Times New Roman"/>
                <w:b/>
                <w:bCs/>
                <w:sz w:val="21"/>
                <w:szCs w:val="21"/>
              </w:rPr>
            </w:pPr>
          </w:p>
        </w:tc>
        <w:tc>
          <w:tcPr>
            <w:tcW w:w="940" w:type="pct"/>
            <w:gridSpan w:val="2"/>
            <w:vAlign w:val="center"/>
          </w:tcPr>
          <w:p>
            <w:pPr>
              <w:widowControl/>
              <w:adjustRightInd w:val="0"/>
              <w:snapToGrid w:val="0"/>
              <w:jc w:val="center"/>
              <w:rPr>
                <w:rFonts w:eastAsia="Times New Roman"/>
                <w:b/>
                <w:bCs/>
                <w:sz w:val="21"/>
                <w:szCs w:val="21"/>
              </w:rPr>
            </w:pPr>
            <w:r>
              <w:rPr>
                <w:rFonts w:hint="eastAsia" w:ascii="宋体" w:hAnsi="宋体" w:eastAsia="Times New Roman" w:cs="宋体"/>
                <w:b/>
                <w:bCs/>
                <w:sz w:val="21"/>
                <w:szCs w:val="21"/>
              </w:rPr>
              <w:t>稳定水位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451" w:type="pct"/>
            <w:vMerge w:val="continue"/>
            <w:vAlign w:val="center"/>
          </w:tcPr>
          <w:p>
            <w:pPr>
              <w:widowControl/>
              <w:adjustRightInd w:val="0"/>
              <w:snapToGrid w:val="0"/>
              <w:jc w:val="center"/>
              <w:rPr>
                <w:rFonts w:eastAsia="Times New Roman"/>
                <w:b/>
                <w:bCs/>
                <w:sz w:val="21"/>
                <w:szCs w:val="21"/>
              </w:rPr>
            </w:pPr>
          </w:p>
        </w:tc>
        <w:tc>
          <w:tcPr>
            <w:tcW w:w="983" w:type="pct"/>
            <w:vMerge w:val="continue"/>
            <w:vAlign w:val="center"/>
          </w:tcPr>
          <w:p>
            <w:pPr>
              <w:widowControl/>
              <w:adjustRightInd w:val="0"/>
              <w:snapToGrid w:val="0"/>
              <w:jc w:val="center"/>
              <w:rPr>
                <w:rFonts w:eastAsia="Times New Roman"/>
                <w:b/>
                <w:bCs/>
                <w:sz w:val="21"/>
                <w:szCs w:val="21"/>
              </w:rPr>
            </w:pPr>
          </w:p>
        </w:tc>
        <w:tc>
          <w:tcPr>
            <w:tcW w:w="861" w:type="pct"/>
            <w:vMerge w:val="restart"/>
            <w:vAlign w:val="center"/>
          </w:tcPr>
          <w:p>
            <w:pPr>
              <w:widowControl/>
              <w:adjustRightInd w:val="0"/>
              <w:snapToGrid w:val="0"/>
              <w:jc w:val="center"/>
              <w:rPr>
                <w:rFonts w:eastAsia="Times New Roman"/>
                <w:b/>
                <w:bCs/>
                <w:sz w:val="21"/>
                <w:szCs w:val="21"/>
              </w:rPr>
            </w:pPr>
            <w:r>
              <w:rPr>
                <w:rFonts w:eastAsia="Times New Roman"/>
                <w:b/>
                <w:bCs/>
                <w:sz w:val="21"/>
                <w:szCs w:val="21"/>
              </w:rPr>
              <w:t>X</w:t>
            </w:r>
          </w:p>
        </w:tc>
        <w:tc>
          <w:tcPr>
            <w:tcW w:w="787" w:type="pct"/>
            <w:vMerge w:val="restart"/>
            <w:vAlign w:val="center"/>
          </w:tcPr>
          <w:p>
            <w:pPr>
              <w:widowControl/>
              <w:adjustRightInd w:val="0"/>
              <w:snapToGrid w:val="0"/>
              <w:jc w:val="center"/>
              <w:rPr>
                <w:rFonts w:eastAsia="Times New Roman"/>
                <w:b/>
                <w:bCs/>
                <w:sz w:val="21"/>
                <w:szCs w:val="21"/>
              </w:rPr>
            </w:pPr>
            <w:r>
              <w:rPr>
                <w:rFonts w:eastAsia="Times New Roman"/>
                <w:b/>
                <w:bCs/>
                <w:sz w:val="21"/>
                <w:szCs w:val="21"/>
              </w:rPr>
              <w:t>Y</w:t>
            </w:r>
          </w:p>
        </w:tc>
        <w:tc>
          <w:tcPr>
            <w:tcW w:w="489" w:type="pct"/>
            <w:vMerge w:val="continue"/>
            <w:vAlign w:val="center"/>
          </w:tcPr>
          <w:p>
            <w:pPr>
              <w:widowControl/>
              <w:adjustRightInd w:val="0"/>
              <w:snapToGrid w:val="0"/>
              <w:jc w:val="center"/>
              <w:rPr>
                <w:rFonts w:eastAsia="Times New Roman"/>
                <w:b/>
                <w:bCs/>
                <w:sz w:val="21"/>
                <w:szCs w:val="21"/>
              </w:rPr>
            </w:pPr>
          </w:p>
        </w:tc>
        <w:tc>
          <w:tcPr>
            <w:tcW w:w="489" w:type="pct"/>
            <w:vMerge w:val="continue"/>
            <w:vAlign w:val="center"/>
          </w:tcPr>
          <w:p>
            <w:pPr>
              <w:widowControl/>
              <w:adjustRightInd w:val="0"/>
              <w:snapToGrid w:val="0"/>
              <w:jc w:val="center"/>
              <w:rPr>
                <w:rFonts w:eastAsia="Times New Roman"/>
                <w:b/>
                <w:bCs/>
                <w:sz w:val="21"/>
                <w:szCs w:val="21"/>
              </w:rPr>
            </w:pPr>
          </w:p>
        </w:tc>
        <w:tc>
          <w:tcPr>
            <w:tcW w:w="451" w:type="pct"/>
            <w:vAlign w:val="center"/>
          </w:tcPr>
          <w:p>
            <w:pPr>
              <w:widowControl/>
              <w:adjustRightInd w:val="0"/>
              <w:snapToGrid w:val="0"/>
              <w:jc w:val="center"/>
              <w:rPr>
                <w:rFonts w:eastAsia="Times New Roman"/>
                <w:b/>
                <w:bCs/>
                <w:sz w:val="21"/>
                <w:szCs w:val="21"/>
              </w:rPr>
            </w:pPr>
            <w:r>
              <w:rPr>
                <w:rFonts w:hint="eastAsia" w:ascii="宋体" w:hAnsi="宋体" w:eastAsia="Times New Roman" w:cs="宋体"/>
                <w:b/>
                <w:bCs/>
                <w:sz w:val="21"/>
                <w:szCs w:val="21"/>
              </w:rPr>
              <w:t>深度</w:t>
            </w:r>
          </w:p>
        </w:tc>
        <w:tc>
          <w:tcPr>
            <w:tcW w:w="489" w:type="pct"/>
            <w:vAlign w:val="center"/>
          </w:tcPr>
          <w:p>
            <w:pPr>
              <w:widowControl/>
              <w:adjustRightInd w:val="0"/>
              <w:snapToGrid w:val="0"/>
              <w:jc w:val="center"/>
              <w:rPr>
                <w:rFonts w:eastAsia="Times New Roman"/>
                <w:b/>
                <w:bCs/>
                <w:sz w:val="21"/>
                <w:szCs w:val="21"/>
              </w:rPr>
            </w:pPr>
            <w:r>
              <w:rPr>
                <w:rFonts w:hint="eastAsia" w:ascii="宋体" w:hAnsi="宋体" w:eastAsia="Times New Roman" w:cs="宋体"/>
                <w:b/>
                <w:bCs/>
                <w:sz w:val="21"/>
                <w:szCs w:val="21"/>
              </w:rPr>
              <w:t>高程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451" w:type="pct"/>
            <w:vMerge w:val="continue"/>
            <w:vAlign w:val="center"/>
          </w:tcPr>
          <w:p>
            <w:pPr>
              <w:widowControl/>
              <w:adjustRightInd w:val="0"/>
              <w:snapToGrid w:val="0"/>
              <w:jc w:val="center"/>
              <w:rPr>
                <w:rFonts w:eastAsia="Times New Roman"/>
                <w:b/>
                <w:bCs/>
                <w:sz w:val="21"/>
                <w:szCs w:val="21"/>
              </w:rPr>
            </w:pPr>
          </w:p>
        </w:tc>
        <w:tc>
          <w:tcPr>
            <w:tcW w:w="983" w:type="pct"/>
            <w:vMerge w:val="continue"/>
            <w:vAlign w:val="center"/>
          </w:tcPr>
          <w:p>
            <w:pPr>
              <w:widowControl/>
              <w:adjustRightInd w:val="0"/>
              <w:snapToGrid w:val="0"/>
              <w:jc w:val="center"/>
              <w:rPr>
                <w:rFonts w:eastAsia="Times New Roman"/>
                <w:b/>
                <w:bCs/>
                <w:sz w:val="21"/>
                <w:szCs w:val="21"/>
              </w:rPr>
            </w:pPr>
          </w:p>
        </w:tc>
        <w:tc>
          <w:tcPr>
            <w:tcW w:w="861" w:type="pct"/>
            <w:vMerge w:val="continue"/>
            <w:vAlign w:val="center"/>
          </w:tcPr>
          <w:p>
            <w:pPr>
              <w:widowControl/>
              <w:adjustRightInd w:val="0"/>
              <w:snapToGrid w:val="0"/>
              <w:jc w:val="center"/>
              <w:rPr>
                <w:rFonts w:eastAsia="Times New Roman"/>
                <w:b/>
                <w:bCs/>
                <w:sz w:val="21"/>
                <w:szCs w:val="21"/>
              </w:rPr>
            </w:pPr>
          </w:p>
        </w:tc>
        <w:tc>
          <w:tcPr>
            <w:tcW w:w="787" w:type="pct"/>
            <w:vMerge w:val="continue"/>
            <w:vAlign w:val="center"/>
          </w:tcPr>
          <w:p>
            <w:pPr>
              <w:widowControl/>
              <w:adjustRightInd w:val="0"/>
              <w:snapToGrid w:val="0"/>
              <w:jc w:val="center"/>
              <w:rPr>
                <w:rFonts w:eastAsia="Times New Roman"/>
                <w:b/>
                <w:bCs/>
                <w:sz w:val="21"/>
                <w:szCs w:val="21"/>
              </w:rPr>
            </w:pPr>
          </w:p>
        </w:tc>
        <w:tc>
          <w:tcPr>
            <w:tcW w:w="489" w:type="pct"/>
            <w:vAlign w:val="center"/>
          </w:tcPr>
          <w:p>
            <w:pPr>
              <w:widowControl/>
              <w:adjustRightInd w:val="0"/>
              <w:snapToGrid w:val="0"/>
              <w:jc w:val="center"/>
              <w:rPr>
                <w:rFonts w:eastAsia="Times New Roman"/>
                <w:b/>
                <w:bCs/>
                <w:sz w:val="21"/>
                <w:szCs w:val="21"/>
              </w:rPr>
            </w:pPr>
            <w:r>
              <w:rPr>
                <w:rFonts w:eastAsia="Times New Roman"/>
                <w:b/>
                <w:bCs/>
                <w:sz w:val="21"/>
                <w:szCs w:val="21"/>
              </w:rPr>
              <w:t>(m)</w:t>
            </w:r>
          </w:p>
        </w:tc>
        <w:tc>
          <w:tcPr>
            <w:tcW w:w="489" w:type="pct"/>
            <w:vAlign w:val="center"/>
          </w:tcPr>
          <w:p>
            <w:pPr>
              <w:widowControl/>
              <w:adjustRightInd w:val="0"/>
              <w:snapToGrid w:val="0"/>
              <w:jc w:val="center"/>
              <w:rPr>
                <w:rFonts w:eastAsia="Times New Roman"/>
                <w:b/>
                <w:bCs/>
                <w:sz w:val="21"/>
                <w:szCs w:val="21"/>
              </w:rPr>
            </w:pPr>
            <w:r>
              <w:rPr>
                <w:rFonts w:eastAsia="Times New Roman"/>
                <w:b/>
                <w:bCs/>
                <w:sz w:val="21"/>
                <w:szCs w:val="21"/>
              </w:rPr>
              <w:t>(m)</w:t>
            </w:r>
          </w:p>
        </w:tc>
        <w:tc>
          <w:tcPr>
            <w:tcW w:w="940" w:type="pct"/>
            <w:gridSpan w:val="2"/>
            <w:vAlign w:val="center"/>
          </w:tcPr>
          <w:p>
            <w:pPr>
              <w:widowControl/>
              <w:adjustRightInd w:val="0"/>
              <w:snapToGrid w:val="0"/>
              <w:jc w:val="center"/>
              <w:rPr>
                <w:rFonts w:eastAsia="Times New Roman"/>
                <w:b/>
                <w:bCs/>
                <w:sz w:val="21"/>
                <w:szCs w:val="21"/>
              </w:rPr>
            </w:pPr>
            <w:r>
              <w:rPr>
                <w:rFonts w:eastAsia="Times New Roman"/>
                <w:b/>
                <w:bCs/>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1" w:type="pct"/>
            <w:vAlign w:val="center"/>
          </w:tcPr>
          <w:p>
            <w:pPr>
              <w:widowControl/>
              <w:adjustRightInd w:val="0"/>
              <w:snapToGrid w:val="0"/>
              <w:jc w:val="center"/>
              <w:rPr>
                <w:rFonts w:eastAsia="Times New Roman"/>
                <w:sz w:val="21"/>
                <w:szCs w:val="21"/>
              </w:rPr>
            </w:pPr>
            <w:r>
              <w:rPr>
                <w:rFonts w:eastAsia="Times New Roman"/>
                <w:sz w:val="21"/>
                <w:szCs w:val="21"/>
              </w:rPr>
              <w:t>Z1</w:t>
            </w:r>
          </w:p>
        </w:tc>
        <w:tc>
          <w:tcPr>
            <w:tcW w:w="983" w:type="pct"/>
            <w:vAlign w:val="center"/>
          </w:tcPr>
          <w:p>
            <w:pPr>
              <w:widowControl/>
              <w:adjustRightInd w:val="0"/>
              <w:snapToGrid w:val="0"/>
              <w:jc w:val="center"/>
              <w:rPr>
                <w:rFonts w:eastAsia="Times New Roman"/>
                <w:sz w:val="21"/>
                <w:szCs w:val="21"/>
              </w:rPr>
            </w:pPr>
            <w:r>
              <w:rPr>
                <w:rFonts w:hint="eastAsia" w:ascii="宋体" w:hAnsi="宋体" w:eastAsia="Times New Roman" w:cs="宋体"/>
                <w:sz w:val="21"/>
                <w:szCs w:val="21"/>
              </w:rPr>
              <w:t>取土孔</w:t>
            </w:r>
          </w:p>
        </w:tc>
        <w:tc>
          <w:tcPr>
            <w:tcW w:w="861" w:type="pct"/>
            <w:vAlign w:val="center"/>
          </w:tcPr>
          <w:p>
            <w:pPr>
              <w:widowControl/>
              <w:adjustRightInd w:val="0"/>
              <w:snapToGrid w:val="0"/>
              <w:jc w:val="center"/>
              <w:rPr>
                <w:rFonts w:eastAsia="Times New Roman"/>
                <w:sz w:val="21"/>
                <w:szCs w:val="21"/>
              </w:rPr>
            </w:pPr>
            <w:r>
              <w:rPr>
                <w:rFonts w:eastAsia="Times New Roman"/>
                <w:sz w:val="21"/>
                <w:szCs w:val="21"/>
              </w:rPr>
              <w:t>3234563.75</w:t>
            </w:r>
          </w:p>
        </w:tc>
        <w:tc>
          <w:tcPr>
            <w:tcW w:w="787" w:type="pct"/>
            <w:vAlign w:val="center"/>
          </w:tcPr>
          <w:p>
            <w:pPr>
              <w:widowControl/>
              <w:adjustRightInd w:val="0"/>
              <w:snapToGrid w:val="0"/>
              <w:jc w:val="center"/>
              <w:rPr>
                <w:rFonts w:eastAsia="Times New Roman"/>
                <w:sz w:val="21"/>
                <w:szCs w:val="21"/>
              </w:rPr>
            </w:pPr>
            <w:r>
              <w:rPr>
                <w:rFonts w:eastAsia="Times New Roman"/>
                <w:sz w:val="21"/>
                <w:szCs w:val="21"/>
              </w:rPr>
              <w:t>486814.39</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62.17</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16.00</w:t>
            </w:r>
          </w:p>
        </w:tc>
        <w:tc>
          <w:tcPr>
            <w:tcW w:w="451" w:type="pct"/>
            <w:vAlign w:val="center"/>
          </w:tcPr>
          <w:p>
            <w:pPr>
              <w:widowControl/>
              <w:adjustRightInd w:val="0"/>
              <w:snapToGrid w:val="0"/>
              <w:jc w:val="center"/>
              <w:rPr>
                <w:rFonts w:eastAsia="Times New Roman"/>
                <w:sz w:val="21"/>
                <w:szCs w:val="21"/>
              </w:rPr>
            </w:pPr>
            <w:r>
              <w:rPr>
                <w:rFonts w:eastAsia="Times New Roman"/>
                <w:sz w:val="21"/>
                <w:szCs w:val="21"/>
              </w:rPr>
              <w:t>1.70</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60.47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1" w:type="pct"/>
            <w:vAlign w:val="center"/>
          </w:tcPr>
          <w:p>
            <w:pPr>
              <w:widowControl/>
              <w:adjustRightInd w:val="0"/>
              <w:snapToGrid w:val="0"/>
              <w:jc w:val="center"/>
              <w:rPr>
                <w:rFonts w:eastAsia="Times New Roman"/>
                <w:sz w:val="21"/>
                <w:szCs w:val="21"/>
              </w:rPr>
            </w:pPr>
            <w:r>
              <w:rPr>
                <w:rFonts w:eastAsia="Times New Roman"/>
                <w:sz w:val="21"/>
                <w:szCs w:val="21"/>
              </w:rPr>
              <w:t>Z2</w:t>
            </w:r>
          </w:p>
        </w:tc>
        <w:tc>
          <w:tcPr>
            <w:tcW w:w="983" w:type="pct"/>
            <w:vAlign w:val="center"/>
          </w:tcPr>
          <w:p>
            <w:pPr>
              <w:widowControl/>
              <w:adjustRightInd w:val="0"/>
              <w:snapToGrid w:val="0"/>
              <w:jc w:val="center"/>
              <w:rPr>
                <w:rFonts w:eastAsia="Times New Roman"/>
                <w:sz w:val="21"/>
                <w:szCs w:val="21"/>
              </w:rPr>
            </w:pPr>
            <w:r>
              <w:rPr>
                <w:rFonts w:hint="eastAsia" w:ascii="宋体" w:hAnsi="宋体" w:eastAsia="Times New Roman" w:cs="宋体"/>
                <w:sz w:val="21"/>
                <w:szCs w:val="21"/>
              </w:rPr>
              <w:t>动探</w:t>
            </w:r>
            <w:r>
              <w:rPr>
                <w:rFonts w:eastAsia="Times New Roman"/>
                <w:sz w:val="21"/>
                <w:szCs w:val="21"/>
              </w:rPr>
              <w:t>+</w:t>
            </w:r>
            <w:r>
              <w:rPr>
                <w:rFonts w:hint="eastAsia" w:ascii="宋体" w:hAnsi="宋体" w:eastAsia="Times New Roman" w:cs="宋体"/>
                <w:sz w:val="21"/>
                <w:szCs w:val="21"/>
              </w:rPr>
              <w:t>取土孔</w:t>
            </w:r>
          </w:p>
        </w:tc>
        <w:tc>
          <w:tcPr>
            <w:tcW w:w="861" w:type="pct"/>
            <w:vAlign w:val="center"/>
          </w:tcPr>
          <w:p>
            <w:pPr>
              <w:widowControl/>
              <w:adjustRightInd w:val="0"/>
              <w:snapToGrid w:val="0"/>
              <w:jc w:val="center"/>
              <w:rPr>
                <w:rFonts w:eastAsia="Times New Roman"/>
                <w:sz w:val="21"/>
                <w:szCs w:val="21"/>
              </w:rPr>
            </w:pPr>
            <w:r>
              <w:rPr>
                <w:rFonts w:eastAsia="Times New Roman"/>
                <w:sz w:val="21"/>
                <w:szCs w:val="21"/>
              </w:rPr>
              <w:t>3234570.66</w:t>
            </w:r>
          </w:p>
        </w:tc>
        <w:tc>
          <w:tcPr>
            <w:tcW w:w="787" w:type="pct"/>
            <w:vAlign w:val="center"/>
          </w:tcPr>
          <w:p>
            <w:pPr>
              <w:widowControl/>
              <w:adjustRightInd w:val="0"/>
              <w:snapToGrid w:val="0"/>
              <w:jc w:val="center"/>
              <w:rPr>
                <w:rFonts w:eastAsia="Times New Roman"/>
                <w:sz w:val="21"/>
                <w:szCs w:val="21"/>
              </w:rPr>
            </w:pPr>
            <w:r>
              <w:rPr>
                <w:rFonts w:eastAsia="Times New Roman"/>
                <w:sz w:val="21"/>
                <w:szCs w:val="21"/>
              </w:rPr>
              <w:t>486835.05</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62.39</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16.00</w:t>
            </w:r>
          </w:p>
        </w:tc>
        <w:tc>
          <w:tcPr>
            <w:tcW w:w="451" w:type="pct"/>
            <w:vAlign w:val="center"/>
          </w:tcPr>
          <w:p>
            <w:pPr>
              <w:widowControl/>
              <w:adjustRightInd w:val="0"/>
              <w:snapToGrid w:val="0"/>
              <w:jc w:val="center"/>
              <w:rPr>
                <w:rFonts w:eastAsia="Times New Roman"/>
                <w:sz w:val="21"/>
                <w:szCs w:val="21"/>
              </w:rPr>
            </w:pPr>
            <w:r>
              <w:rPr>
                <w:rFonts w:eastAsia="Times New Roman"/>
                <w:sz w:val="21"/>
                <w:szCs w:val="21"/>
              </w:rPr>
              <w:t>1.80</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60.59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1" w:type="pct"/>
            <w:vAlign w:val="center"/>
          </w:tcPr>
          <w:p>
            <w:pPr>
              <w:widowControl/>
              <w:adjustRightInd w:val="0"/>
              <w:snapToGrid w:val="0"/>
              <w:jc w:val="center"/>
              <w:rPr>
                <w:rFonts w:eastAsia="Times New Roman"/>
                <w:sz w:val="21"/>
                <w:szCs w:val="21"/>
              </w:rPr>
            </w:pPr>
            <w:r>
              <w:rPr>
                <w:rFonts w:eastAsia="Times New Roman"/>
                <w:sz w:val="21"/>
                <w:szCs w:val="21"/>
              </w:rPr>
              <w:t>Z3</w:t>
            </w:r>
          </w:p>
        </w:tc>
        <w:tc>
          <w:tcPr>
            <w:tcW w:w="983" w:type="pct"/>
            <w:vAlign w:val="center"/>
          </w:tcPr>
          <w:p>
            <w:pPr>
              <w:widowControl/>
              <w:adjustRightInd w:val="0"/>
              <w:snapToGrid w:val="0"/>
              <w:jc w:val="center"/>
              <w:rPr>
                <w:rFonts w:eastAsia="Times New Roman"/>
                <w:sz w:val="21"/>
                <w:szCs w:val="21"/>
              </w:rPr>
            </w:pPr>
            <w:r>
              <w:rPr>
                <w:rFonts w:hint="eastAsia" w:ascii="宋体" w:hAnsi="宋体" w:eastAsia="Times New Roman" w:cs="宋体"/>
                <w:sz w:val="21"/>
                <w:szCs w:val="21"/>
              </w:rPr>
              <w:t>取土孔</w:t>
            </w:r>
          </w:p>
        </w:tc>
        <w:tc>
          <w:tcPr>
            <w:tcW w:w="861" w:type="pct"/>
            <w:vAlign w:val="center"/>
          </w:tcPr>
          <w:p>
            <w:pPr>
              <w:widowControl/>
              <w:adjustRightInd w:val="0"/>
              <w:snapToGrid w:val="0"/>
              <w:jc w:val="center"/>
              <w:rPr>
                <w:rFonts w:eastAsia="Times New Roman"/>
                <w:sz w:val="21"/>
                <w:szCs w:val="21"/>
              </w:rPr>
            </w:pPr>
            <w:r>
              <w:rPr>
                <w:rFonts w:eastAsia="Times New Roman"/>
                <w:sz w:val="21"/>
                <w:szCs w:val="21"/>
              </w:rPr>
              <w:t>3234578.09</w:t>
            </w:r>
          </w:p>
        </w:tc>
        <w:tc>
          <w:tcPr>
            <w:tcW w:w="787" w:type="pct"/>
            <w:vAlign w:val="center"/>
          </w:tcPr>
          <w:p>
            <w:pPr>
              <w:widowControl/>
              <w:adjustRightInd w:val="0"/>
              <w:snapToGrid w:val="0"/>
              <w:jc w:val="center"/>
              <w:rPr>
                <w:rFonts w:eastAsia="Times New Roman"/>
                <w:sz w:val="21"/>
                <w:szCs w:val="21"/>
              </w:rPr>
            </w:pPr>
            <w:r>
              <w:rPr>
                <w:rFonts w:eastAsia="Times New Roman"/>
                <w:sz w:val="21"/>
                <w:szCs w:val="21"/>
              </w:rPr>
              <w:t>486856.88</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62.37</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16.00</w:t>
            </w:r>
          </w:p>
        </w:tc>
        <w:tc>
          <w:tcPr>
            <w:tcW w:w="451" w:type="pct"/>
            <w:vAlign w:val="center"/>
          </w:tcPr>
          <w:p>
            <w:pPr>
              <w:widowControl/>
              <w:adjustRightInd w:val="0"/>
              <w:snapToGrid w:val="0"/>
              <w:jc w:val="center"/>
              <w:rPr>
                <w:rFonts w:eastAsia="Times New Roman"/>
                <w:sz w:val="21"/>
                <w:szCs w:val="21"/>
              </w:rPr>
            </w:pPr>
            <w:r>
              <w:rPr>
                <w:rFonts w:eastAsia="Times New Roman"/>
                <w:sz w:val="21"/>
                <w:szCs w:val="21"/>
              </w:rPr>
              <w:t>2.10</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60.27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1" w:type="pct"/>
            <w:vAlign w:val="center"/>
          </w:tcPr>
          <w:p>
            <w:pPr>
              <w:widowControl/>
              <w:adjustRightInd w:val="0"/>
              <w:snapToGrid w:val="0"/>
              <w:jc w:val="center"/>
              <w:rPr>
                <w:rFonts w:eastAsia="Times New Roman"/>
                <w:sz w:val="21"/>
                <w:szCs w:val="21"/>
              </w:rPr>
            </w:pPr>
            <w:r>
              <w:rPr>
                <w:rFonts w:eastAsia="Times New Roman"/>
                <w:sz w:val="21"/>
                <w:szCs w:val="21"/>
              </w:rPr>
              <w:t>Z4</w:t>
            </w:r>
          </w:p>
        </w:tc>
        <w:tc>
          <w:tcPr>
            <w:tcW w:w="983" w:type="pct"/>
            <w:vAlign w:val="center"/>
          </w:tcPr>
          <w:p>
            <w:pPr>
              <w:widowControl/>
              <w:adjustRightInd w:val="0"/>
              <w:snapToGrid w:val="0"/>
              <w:jc w:val="center"/>
              <w:rPr>
                <w:rFonts w:eastAsia="Times New Roman"/>
                <w:sz w:val="21"/>
                <w:szCs w:val="21"/>
              </w:rPr>
            </w:pPr>
            <w:r>
              <w:rPr>
                <w:rFonts w:hint="eastAsia" w:ascii="宋体" w:hAnsi="宋体" w:eastAsia="Times New Roman" w:cs="宋体"/>
                <w:sz w:val="21"/>
                <w:szCs w:val="21"/>
              </w:rPr>
              <w:t>钻探孔</w:t>
            </w:r>
          </w:p>
        </w:tc>
        <w:tc>
          <w:tcPr>
            <w:tcW w:w="861" w:type="pct"/>
            <w:vAlign w:val="center"/>
          </w:tcPr>
          <w:p>
            <w:pPr>
              <w:widowControl/>
              <w:adjustRightInd w:val="0"/>
              <w:snapToGrid w:val="0"/>
              <w:jc w:val="center"/>
              <w:rPr>
                <w:rFonts w:eastAsia="Times New Roman"/>
                <w:sz w:val="21"/>
                <w:szCs w:val="21"/>
              </w:rPr>
            </w:pPr>
            <w:r>
              <w:rPr>
                <w:rFonts w:eastAsia="Times New Roman"/>
                <w:sz w:val="21"/>
                <w:szCs w:val="21"/>
              </w:rPr>
              <w:t>3234585.10</w:t>
            </w:r>
          </w:p>
        </w:tc>
        <w:tc>
          <w:tcPr>
            <w:tcW w:w="787" w:type="pct"/>
            <w:vAlign w:val="center"/>
          </w:tcPr>
          <w:p>
            <w:pPr>
              <w:widowControl/>
              <w:adjustRightInd w:val="0"/>
              <w:snapToGrid w:val="0"/>
              <w:jc w:val="center"/>
              <w:rPr>
                <w:rFonts w:eastAsia="Times New Roman"/>
                <w:sz w:val="21"/>
                <w:szCs w:val="21"/>
              </w:rPr>
            </w:pPr>
            <w:r>
              <w:rPr>
                <w:rFonts w:eastAsia="Times New Roman"/>
                <w:sz w:val="21"/>
                <w:szCs w:val="21"/>
              </w:rPr>
              <w:t>486877.90</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62.28</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15.60</w:t>
            </w:r>
          </w:p>
        </w:tc>
        <w:tc>
          <w:tcPr>
            <w:tcW w:w="451" w:type="pct"/>
            <w:vAlign w:val="center"/>
          </w:tcPr>
          <w:p>
            <w:pPr>
              <w:widowControl/>
              <w:adjustRightInd w:val="0"/>
              <w:snapToGrid w:val="0"/>
              <w:jc w:val="center"/>
              <w:rPr>
                <w:rFonts w:eastAsia="Times New Roman"/>
                <w:sz w:val="21"/>
                <w:szCs w:val="21"/>
              </w:rPr>
            </w:pPr>
            <w:r>
              <w:rPr>
                <w:rFonts w:eastAsia="Times New Roman"/>
                <w:sz w:val="21"/>
                <w:szCs w:val="21"/>
              </w:rPr>
              <w:t>1.90</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60.38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1" w:type="pct"/>
            <w:vAlign w:val="center"/>
          </w:tcPr>
          <w:p>
            <w:pPr>
              <w:widowControl/>
              <w:adjustRightInd w:val="0"/>
              <w:snapToGrid w:val="0"/>
              <w:jc w:val="center"/>
              <w:rPr>
                <w:rFonts w:eastAsia="Times New Roman"/>
                <w:sz w:val="21"/>
                <w:szCs w:val="21"/>
              </w:rPr>
            </w:pPr>
            <w:r>
              <w:rPr>
                <w:rFonts w:eastAsia="Times New Roman"/>
                <w:sz w:val="21"/>
                <w:szCs w:val="21"/>
              </w:rPr>
              <w:t>Z5</w:t>
            </w:r>
          </w:p>
        </w:tc>
        <w:tc>
          <w:tcPr>
            <w:tcW w:w="983" w:type="pct"/>
            <w:vAlign w:val="center"/>
          </w:tcPr>
          <w:p>
            <w:pPr>
              <w:widowControl/>
              <w:adjustRightInd w:val="0"/>
              <w:snapToGrid w:val="0"/>
              <w:jc w:val="center"/>
              <w:rPr>
                <w:rFonts w:eastAsia="Times New Roman"/>
                <w:sz w:val="21"/>
                <w:szCs w:val="21"/>
              </w:rPr>
            </w:pPr>
            <w:r>
              <w:rPr>
                <w:rFonts w:hint="eastAsia" w:ascii="宋体" w:hAnsi="宋体" w:eastAsia="Times New Roman" w:cs="宋体"/>
                <w:sz w:val="21"/>
                <w:szCs w:val="21"/>
              </w:rPr>
              <w:t>钻探孔</w:t>
            </w:r>
          </w:p>
        </w:tc>
        <w:tc>
          <w:tcPr>
            <w:tcW w:w="861" w:type="pct"/>
            <w:vAlign w:val="center"/>
          </w:tcPr>
          <w:p>
            <w:pPr>
              <w:widowControl/>
              <w:adjustRightInd w:val="0"/>
              <w:snapToGrid w:val="0"/>
              <w:jc w:val="center"/>
              <w:rPr>
                <w:rFonts w:eastAsia="Times New Roman"/>
                <w:sz w:val="21"/>
                <w:szCs w:val="21"/>
              </w:rPr>
            </w:pPr>
            <w:r>
              <w:rPr>
                <w:rFonts w:eastAsia="Times New Roman"/>
                <w:sz w:val="21"/>
                <w:szCs w:val="21"/>
              </w:rPr>
              <w:t>3234556.02</w:t>
            </w:r>
          </w:p>
        </w:tc>
        <w:tc>
          <w:tcPr>
            <w:tcW w:w="787" w:type="pct"/>
            <w:vAlign w:val="center"/>
          </w:tcPr>
          <w:p>
            <w:pPr>
              <w:widowControl/>
              <w:adjustRightInd w:val="0"/>
              <w:snapToGrid w:val="0"/>
              <w:jc w:val="center"/>
              <w:rPr>
                <w:rFonts w:eastAsia="Times New Roman"/>
                <w:sz w:val="21"/>
                <w:szCs w:val="21"/>
              </w:rPr>
            </w:pPr>
            <w:r>
              <w:rPr>
                <w:rFonts w:eastAsia="Times New Roman"/>
                <w:sz w:val="21"/>
                <w:szCs w:val="21"/>
              </w:rPr>
              <w:t>486817.99</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62.28</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16.00</w:t>
            </w:r>
          </w:p>
        </w:tc>
        <w:tc>
          <w:tcPr>
            <w:tcW w:w="451" w:type="pct"/>
            <w:vAlign w:val="center"/>
          </w:tcPr>
          <w:p>
            <w:pPr>
              <w:widowControl/>
              <w:adjustRightInd w:val="0"/>
              <w:snapToGrid w:val="0"/>
              <w:jc w:val="center"/>
              <w:rPr>
                <w:rFonts w:eastAsia="Times New Roman"/>
                <w:sz w:val="21"/>
                <w:szCs w:val="21"/>
              </w:rPr>
            </w:pPr>
            <w:r>
              <w:rPr>
                <w:rFonts w:eastAsia="Times New Roman"/>
                <w:sz w:val="21"/>
                <w:szCs w:val="21"/>
              </w:rPr>
              <w:t>1.80</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60.48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1" w:type="pct"/>
            <w:vAlign w:val="center"/>
          </w:tcPr>
          <w:p>
            <w:pPr>
              <w:widowControl/>
              <w:adjustRightInd w:val="0"/>
              <w:snapToGrid w:val="0"/>
              <w:jc w:val="center"/>
              <w:rPr>
                <w:rFonts w:eastAsia="Times New Roman"/>
                <w:sz w:val="21"/>
                <w:szCs w:val="21"/>
              </w:rPr>
            </w:pPr>
            <w:r>
              <w:rPr>
                <w:rFonts w:eastAsia="Times New Roman"/>
                <w:sz w:val="21"/>
                <w:szCs w:val="21"/>
              </w:rPr>
              <w:t>Z6</w:t>
            </w:r>
          </w:p>
        </w:tc>
        <w:tc>
          <w:tcPr>
            <w:tcW w:w="983" w:type="pct"/>
            <w:vAlign w:val="center"/>
          </w:tcPr>
          <w:p>
            <w:pPr>
              <w:widowControl/>
              <w:adjustRightInd w:val="0"/>
              <w:snapToGrid w:val="0"/>
              <w:jc w:val="center"/>
              <w:rPr>
                <w:rFonts w:eastAsia="Times New Roman"/>
                <w:sz w:val="21"/>
                <w:szCs w:val="21"/>
              </w:rPr>
            </w:pPr>
            <w:r>
              <w:rPr>
                <w:rFonts w:hint="eastAsia" w:ascii="宋体" w:hAnsi="宋体" w:eastAsia="Times New Roman" w:cs="宋体"/>
                <w:sz w:val="21"/>
                <w:szCs w:val="21"/>
              </w:rPr>
              <w:t>取土孔</w:t>
            </w:r>
          </w:p>
        </w:tc>
        <w:tc>
          <w:tcPr>
            <w:tcW w:w="861" w:type="pct"/>
            <w:vAlign w:val="center"/>
          </w:tcPr>
          <w:p>
            <w:pPr>
              <w:widowControl/>
              <w:adjustRightInd w:val="0"/>
              <w:snapToGrid w:val="0"/>
              <w:jc w:val="center"/>
              <w:rPr>
                <w:rFonts w:eastAsia="Times New Roman"/>
                <w:sz w:val="21"/>
                <w:szCs w:val="21"/>
              </w:rPr>
            </w:pPr>
            <w:r>
              <w:rPr>
                <w:rFonts w:eastAsia="Times New Roman"/>
                <w:sz w:val="21"/>
                <w:szCs w:val="21"/>
              </w:rPr>
              <w:t>3234562.59</w:t>
            </w:r>
          </w:p>
        </w:tc>
        <w:tc>
          <w:tcPr>
            <w:tcW w:w="787" w:type="pct"/>
            <w:vAlign w:val="center"/>
          </w:tcPr>
          <w:p>
            <w:pPr>
              <w:widowControl/>
              <w:adjustRightInd w:val="0"/>
              <w:snapToGrid w:val="0"/>
              <w:jc w:val="center"/>
              <w:rPr>
                <w:rFonts w:eastAsia="Times New Roman"/>
                <w:sz w:val="21"/>
                <w:szCs w:val="21"/>
              </w:rPr>
            </w:pPr>
            <w:r>
              <w:rPr>
                <w:rFonts w:eastAsia="Times New Roman"/>
                <w:sz w:val="21"/>
                <w:szCs w:val="21"/>
              </w:rPr>
              <w:t>486835.98</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62.25</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16.00</w:t>
            </w:r>
          </w:p>
        </w:tc>
        <w:tc>
          <w:tcPr>
            <w:tcW w:w="451" w:type="pct"/>
            <w:vAlign w:val="center"/>
          </w:tcPr>
          <w:p>
            <w:pPr>
              <w:widowControl/>
              <w:adjustRightInd w:val="0"/>
              <w:snapToGrid w:val="0"/>
              <w:jc w:val="center"/>
              <w:rPr>
                <w:rFonts w:eastAsia="Times New Roman"/>
                <w:sz w:val="21"/>
                <w:szCs w:val="21"/>
              </w:rPr>
            </w:pPr>
            <w:r>
              <w:rPr>
                <w:rFonts w:eastAsia="Times New Roman"/>
                <w:sz w:val="21"/>
                <w:szCs w:val="21"/>
              </w:rPr>
              <w:t>2.10</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60.15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1" w:type="pct"/>
            <w:vAlign w:val="center"/>
          </w:tcPr>
          <w:p>
            <w:pPr>
              <w:widowControl/>
              <w:adjustRightInd w:val="0"/>
              <w:snapToGrid w:val="0"/>
              <w:jc w:val="center"/>
              <w:rPr>
                <w:rFonts w:eastAsia="Times New Roman"/>
                <w:sz w:val="21"/>
                <w:szCs w:val="21"/>
              </w:rPr>
            </w:pPr>
            <w:r>
              <w:rPr>
                <w:rFonts w:eastAsia="Times New Roman"/>
                <w:sz w:val="21"/>
                <w:szCs w:val="21"/>
              </w:rPr>
              <w:t>Z7</w:t>
            </w:r>
          </w:p>
        </w:tc>
        <w:tc>
          <w:tcPr>
            <w:tcW w:w="983" w:type="pct"/>
            <w:vAlign w:val="center"/>
          </w:tcPr>
          <w:p>
            <w:pPr>
              <w:widowControl/>
              <w:adjustRightInd w:val="0"/>
              <w:snapToGrid w:val="0"/>
              <w:jc w:val="center"/>
              <w:rPr>
                <w:rFonts w:eastAsia="Times New Roman"/>
                <w:sz w:val="21"/>
                <w:szCs w:val="21"/>
              </w:rPr>
            </w:pPr>
            <w:r>
              <w:rPr>
                <w:rFonts w:hint="eastAsia" w:ascii="宋体" w:hAnsi="宋体" w:eastAsia="Times New Roman" w:cs="宋体"/>
                <w:sz w:val="21"/>
                <w:szCs w:val="21"/>
              </w:rPr>
              <w:t>取土孔</w:t>
            </w:r>
          </w:p>
        </w:tc>
        <w:tc>
          <w:tcPr>
            <w:tcW w:w="861" w:type="pct"/>
            <w:vAlign w:val="center"/>
          </w:tcPr>
          <w:p>
            <w:pPr>
              <w:widowControl/>
              <w:adjustRightInd w:val="0"/>
              <w:snapToGrid w:val="0"/>
              <w:jc w:val="center"/>
              <w:rPr>
                <w:rFonts w:eastAsia="Times New Roman"/>
                <w:sz w:val="21"/>
                <w:szCs w:val="21"/>
              </w:rPr>
            </w:pPr>
            <w:r>
              <w:rPr>
                <w:rFonts w:eastAsia="Times New Roman"/>
                <w:sz w:val="21"/>
                <w:szCs w:val="21"/>
              </w:rPr>
              <w:t>3234568.55</w:t>
            </w:r>
          </w:p>
        </w:tc>
        <w:tc>
          <w:tcPr>
            <w:tcW w:w="787" w:type="pct"/>
            <w:vAlign w:val="center"/>
          </w:tcPr>
          <w:p>
            <w:pPr>
              <w:widowControl/>
              <w:adjustRightInd w:val="0"/>
              <w:snapToGrid w:val="0"/>
              <w:jc w:val="center"/>
              <w:rPr>
                <w:rFonts w:eastAsia="Times New Roman"/>
                <w:sz w:val="21"/>
                <w:szCs w:val="21"/>
              </w:rPr>
            </w:pPr>
            <w:r>
              <w:rPr>
                <w:rFonts w:eastAsia="Times New Roman"/>
                <w:sz w:val="21"/>
                <w:szCs w:val="21"/>
              </w:rPr>
              <w:t>486853.97</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62.42</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16.00</w:t>
            </w:r>
          </w:p>
        </w:tc>
        <w:tc>
          <w:tcPr>
            <w:tcW w:w="451" w:type="pct"/>
            <w:vAlign w:val="center"/>
          </w:tcPr>
          <w:p>
            <w:pPr>
              <w:widowControl/>
              <w:adjustRightInd w:val="0"/>
              <w:snapToGrid w:val="0"/>
              <w:jc w:val="center"/>
              <w:rPr>
                <w:rFonts w:eastAsia="Times New Roman"/>
                <w:sz w:val="21"/>
                <w:szCs w:val="21"/>
              </w:rPr>
            </w:pPr>
            <w:r>
              <w:rPr>
                <w:rFonts w:eastAsia="Times New Roman"/>
                <w:sz w:val="21"/>
                <w:szCs w:val="21"/>
              </w:rPr>
              <w:t>2.10</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60.32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1" w:type="pct"/>
            <w:vAlign w:val="center"/>
          </w:tcPr>
          <w:p>
            <w:pPr>
              <w:widowControl/>
              <w:adjustRightInd w:val="0"/>
              <w:snapToGrid w:val="0"/>
              <w:jc w:val="center"/>
              <w:rPr>
                <w:rFonts w:eastAsia="Times New Roman"/>
                <w:sz w:val="21"/>
                <w:szCs w:val="21"/>
              </w:rPr>
            </w:pPr>
            <w:r>
              <w:rPr>
                <w:rFonts w:eastAsia="Times New Roman"/>
                <w:sz w:val="21"/>
                <w:szCs w:val="21"/>
              </w:rPr>
              <w:t>Z8</w:t>
            </w:r>
          </w:p>
        </w:tc>
        <w:tc>
          <w:tcPr>
            <w:tcW w:w="983" w:type="pct"/>
            <w:vAlign w:val="center"/>
          </w:tcPr>
          <w:p>
            <w:pPr>
              <w:widowControl/>
              <w:adjustRightInd w:val="0"/>
              <w:snapToGrid w:val="0"/>
              <w:jc w:val="center"/>
              <w:rPr>
                <w:rFonts w:eastAsia="Times New Roman"/>
                <w:sz w:val="21"/>
                <w:szCs w:val="21"/>
              </w:rPr>
            </w:pPr>
            <w:r>
              <w:rPr>
                <w:rFonts w:hint="eastAsia" w:ascii="宋体" w:hAnsi="宋体" w:eastAsia="Times New Roman" w:cs="宋体"/>
                <w:sz w:val="21"/>
                <w:szCs w:val="21"/>
              </w:rPr>
              <w:t>取土孔</w:t>
            </w:r>
          </w:p>
        </w:tc>
        <w:tc>
          <w:tcPr>
            <w:tcW w:w="861" w:type="pct"/>
            <w:vAlign w:val="center"/>
          </w:tcPr>
          <w:p>
            <w:pPr>
              <w:widowControl/>
              <w:adjustRightInd w:val="0"/>
              <w:snapToGrid w:val="0"/>
              <w:jc w:val="center"/>
              <w:rPr>
                <w:rFonts w:eastAsia="Times New Roman"/>
                <w:sz w:val="21"/>
                <w:szCs w:val="21"/>
              </w:rPr>
            </w:pPr>
            <w:r>
              <w:rPr>
                <w:rFonts w:eastAsia="Times New Roman"/>
                <w:sz w:val="21"/>
                <w:szCs w:val="21"/>
              </w:rPr>
              <w:t>3234574.54</w:t>
            </w:r>
          </w:p>
        </w:tc>
        <w:tc>
          <w:tcPr>
            <w:tcW w:w="787" w:type="pct"/>
            <w:vAlign w:val="center"/>
          </w:tcPr>
          <w:p>
            <w:pPr>
              <w:widowControl/>
              <w:adjustRightInd w:val="0"/>
              <w:snapToGrid w:val="0"/>
              <w:jc w:val="center"/>
              <w:rPr>
                <w:rFonts w:eastAsia="Times New Roman"/>
                <w:sz w:val="21"/>
                <w:szCs w:val="21"/>
              </w:rPr>
            </w:pPr>
            <w:r>
              <w:rPr>
                <w:rFonts w:eastAsia="Times New Roman"/>
                <w:sz w:val="21"/>
                <w:szCs w:val="21"/>
              </w:rPr>
              <w:t>486872.18</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62.33</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15.00</w:t>
            </w:r>
          </w:p>
        </w:tc>
        <w:tc>
          <w:tcPr>
            <w:tcW w:w="451" w:type="pct"/>
            <w:vAlign w:val="center"/>
          </w:tcPr>
          <w:p>
            <w:pPr>
              <w:widowControl/>
              <w:adjustRightInd w:val="0"/>
              <w:snapToGrid w:val="0"/>
              <w:jc w:val="center"/>
              <w:rPr>
                <w:rFonts w:eastAsia="Times New Roman"/>
                <w:sz w:val="21"/>
                <w:szCs w:val="21"/>
              </w:rPr>
            </w:pPr>
            <w:r>
              <w:rPr>
                <w:rFonts w:eastAsia="Times New Roman"/>
                <w:sz w:val="21"/>
                <w:szCs w:val="21"/>
              </w:rPr>
              <w:t>2.00</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60.33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1" w:type="pct"/>
            <w:vAlign w:val="center"/>
          </w:tcPr>
          <w:p>
            <w:pPr>
              <w:widowControl/>
              <w:adjustRightInd w:val="0"/>
              <w:snapToGrid w:val="0"/>
              <w:jc w:val="center"/>
              <w:rPr>
                <w:rFonts w:eastAsia="Times New Roman"/>
                <w:sz w:val="21"/>
                <w:szCs w:val="21"/>
              </w:rPr>
            </w:pPr>
            <w:r>
              <w:rPr>
                <w:rFonts w:eastAsia="Times New Roman"/>
                <w:sz w:val="21"/>
                <w:szCs w:val="21"/>
              </w:rPr>
              <w:t>Z9</w:t>
            </w:r>
          </w:p>
        </w:tc>
        <w:tc>
          <w:tcPr>
            <w:tcW w:w="983" w:type="pct"/>
            <w:vAlign w:val="center"/>
          </w:tcPr>
          <w:p>
            <w:pPr>
              <w:widowControl/>
              <w:adjustRightInd w:val="0"/>
              <w:snapToGrid w:val="0"/>
              <w:jc w:val="center"/>
              <w:rPr>
                <w:rFonts w:eastAsia="Times New Roman"/>
                <w:sz w:val="21"/>
                <w:szCs w:val="21"/>
              </w:rPr>
            </w:pPr>
            <w:r>
              <w:rPr>
                <w:rFonts w:hint="eastAsia" w:ascii="宋体" w:hAnsi="宋体" w:eastAsia="Times New Roman" w:cs="宋体"/>
                <w:sz w:val="21"/>
                <w:szCs w:val="21"/>
              </w:rPr>
              <w:t>钻探孔</w:t>
            </w:r>
          </w:p>
        </w:tc>
        <w:tc>
          <w:tcPr>
            <w:tcW w:w="861" w:type="pct"/>
            <w:vAlign w:val="center"/>
          </w:tcPr>
          <w:p>
            <w:pPr>
              <w:widowControl/>
              <w:adjustRightInd w:val="0"/>
              <w:snapToGrid w:val="0"/>
              <w:jc w:val="center"/>
              <w:rPr>
                <w:rFonts w:eastAsia="Times New Roman"/>
                <w:sz w:val="21"/>
                <w:szCs w:val="21"/>
              </w:rPr>
            </w:pPr>
            <w:r>
              <w:rPr>
                <w:rFonts w:eastAsia="Times New Roman"/>
                <w:sz w:val="21"/>
                <w:szCs w:val="21"/>
              </w:rPr>
              <w:t>3234542.50</w:t>
            </w:r>
          </w:p>
        </w:tc>
        <w:tc>
          <w:tcPr>
            <w:tcW w:w="787" w:type="pct"/>
            <w:vAlign w:val="center"/>
          </w:tcPr>
          <w:p>
            <w:pPr>
              <w:widowControl/>
              <w:adjustRightInd w:val="0"/>
              <w:snapToGrid w:val="0"/>
              <w:jc w:val="center"/>
              <w:rPr>
                <w:rFonts w:eastAsia="Times New Roman"/>
                <w:sz w:val="21"/>
                <w:szCs w:val="21"/>
              </w:rPr>
            </w:pPr>
            <w:r>
              <w:rPr>
                <w:rFonts w:eastAsia="Times New Roman"/>
                <w:sz w:val="21"/>
                <w:szCs w:val="21"/>
              </w:rPr>
              <w:t>486824.81</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62.28</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16.00</w:t>
            </w:r>
          </w:p>
        </w:tc>
        <w:tc>
          <w:tcPr>
            <w:tcW w:w="451" w:type="pct"/>
            <w:vAlign w:val="center"/>
          </w:tcPr>
          <w:p>
            <w:pPr>
              <w:widowControl/>
              <w:adjustRightInd w:val="0"/>
              <w:snapToGrid w:val="0"/>
              <w:jc w:val="center"/>
              <w:rPr>
                <w:rFonts w:eastAsia="Times New Roman"/>
                <w:sz w:val="21"/>
                <w:szCs w:val="21"/>
              </w:rPr>
            </w:pPr>
            <w:r>
              <w:rPr>
                <w:rFonts w:eastAsia="Times New Roman"/>
                <w:sz w:val="21"/>
                <w:szCs w:val="21"/>
              </w:rPr>
              <w:t>2.20</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60.08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1" w:type="pct"/>
            <w:vAlign w:val="center"/>
          </w:tcPr>
          <w:p>
            <w:pPr>
              <w:widowControl/>
              <w:adjustRightInd w:val="0"/>
              <w:snapToGrid w:val="0"/>
              <w:jc w:val="center"/>
              <w:rPr>
                <w:rFonts w:eastAsia="Times New Roman"/>
                <w:sz w:val="21"/>
                <w:szCs w:val="21"/>
              </w:rPr>
            </w:pPr>
            <w:r>
              <w:rPr>
                <w:rFonts w:eastAsia="Times New Roman"/>
                <w:sz w:val="21"/>
                <w:szCs w:val="21"/>
              </w:rPr>
              <w:t>Z10</w:t>
            </w:r>
          </w:p>
        </w:tc>
        <w:tc>
          <w:tcPr>
            <w:tcW w:w="983" w:type="pct"/>
            <w:vAlign w:val="center"/>
          </w:tcPr>
          <w:p>
            <w:pPr>
              <w:widowControl/>
              <w:adjustRightInd w:val="0"/>
              <w:snapToGrid w:val="0"/>
              <w:jc w:val="center"/>
              <w:rPr>
                <w:rFonts w:eastAsia="Times New Roman"/>
                <w:sz w:val="21"/>
                <w:szCs w:val="21"/>
              </w:rPr>
            </w:pPr>
            <w:r>
              <w:rPr>
                <w:rFonts w:hint="eastAsia" w:ascii="宋体" w:hAnsi="宋体" w:eastAsia="Times New Roman" w:cs="宋体"/>
                <w:sz w:val="21"/>
                <w:szCs w:val="21"/>
              </w:rPr>
              <w:t>钻探孔</w:t>
            </w:r>
          </w:p>
        </w:tc>
        <w:tc>
          <w:tcPr>
            <w:tcW w:w="861" w:type="pct"/>
            <w:vAlign w:val="center"/>
          </w:tcPr>
          <w:p>
            <w:pPr>
              <w:widowControl/>
              <w:adjustRightInd w:val="0"/>
              <w:snapToGrid w:val="0"/>
              <w:jc w:val="center"/>
              <w:rPr>
                <w:rFonts w:eastAsia="Times New Roman"/>
                <w:sz w:val="21"/>
                <w:szCs w:val="21"/>
              </w:rPr>
            </w:pPr>
            <w:r>
              <w:rPr>
                <w:rFonts w:eastAsia="Times New Roman"/>
                <w:sz w:val="21"/>
                <w:szCs w:val="21"/>
              </w:rPr>
              <w:t>3234547.65</w:t>
            </w:r>
          </w:p>
        </w:tc>
        <w:tc>
          <w:tcPr>
            <w:tcW w:w="787" w:type="pct"/>
            <w:vAlign w:val="center"/>
          </w:tcPr>
          <w:p>
            <w:pPr>
              <w:widowControl/>
              <w:adjustRightInd w:val="0"/>
              <w:snapToGrid w:val="0"/>
              <w:jc w:val="center"/>
              <w:rPr>
                <w:rFonts w:eastAsia="Times New Roman"/>
                <w:sz w:val="21"/>
                <w:szCs w:val="21"/>
              </w:rPr>
            </w:pPr>
            <w:r>
              <w:rPr>
                <w:rFonts w:eastAsia="Times New Roman"/>
                <w:sz w:val="21"/>
                <w:szCs w:val="21"/>
              </w:rPr>
              <w:t>486839.35</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62.30</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16.00</w:t>
            </w:r>
          </w:p>
        </w:tc>
        <w:tc>
          <w:tcPr>
            <w:tcW w:w="451" w:type="pct"/>
            <w:vAlign w:val="center"/>
          </w:tcPr>
          <w:p>
            <w:pPr>
              <w:widowControl/>
              <w:adjustRightInd w:val="0"/>
              <w:snapToGrid w:val="0"/>
              <w:jc w:val="center"/>
              <w:rPr>
                <w:rFonts w:eastAsia="Times New Roman"/>
                <w:sz w:val="21"/>
                <w:szCs w:val="21"/>
              </w:rPr>
            </w:pPr>
            <w:r>
              <w:rPr>
                <w:rFonts w:eastAsia="Times New Roman"/>
                <w:sz w:val="21"/>
                <w:szCs w:val="21"/>
              </w:rPr>
              <w:t>2.00</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60.30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1" w:type="pct"/>
            <w:vAlign w:val="center"/>
          </w:tcPr>
          <w:p>
            <w:pPr>
              <w:widowControl/>
              <w:adjustRightInd w:val="0"/>
              <w:snapToGrid w:val="0"/>
              <w:jc w:val="center"/>
              <w:rPr>
                <w:rFonts w:eastAsia="Times New Roman"/>
                <w:sz w:val="21"/>
                <w:szCs w:val="21"/>
              </w:rPr>
            </w:pPr>
            <w:r>
              <w:rPr>
                <w:rFonts w:eastAsia="Times New Roman"/>
                <w:sz w:val="21"/>
                <w:szCs w:val="21"/>
              </w:rPr>
              <w:t>Z11</w:t>
            </w:r>
          </w:p>
        </w:tc>
        <w:tc>
          <w:tcPr>
            <w:tcW w:w="983" w:type="pct"/>
            <w:vAlign w:val="center"/>
          </w:tcPr>
          <w:p>
            <w:pPr>
              <w:widowControl/>
              <w:adjustRightInd w:val="0"/>
              <w:snapToGrid w:val="0"/>
              <w:jc w:val="center"/>
              <w:rPr>
                <w:rFonts w:eastAsia="Times New Roman"/>
                <w:sz w:val="21"/>
                <w:szCs w:val="21"/>
              </w:rPr>
            </w:pPr>
            <w:r>
              <w:rPr>
                <w:rFonts w:hint="eastAsia" w:ascii="宋体" w:hAnsi="宋体" w:eastAsia="Times New Roman" w:cs="宋体"/>
                <w:sz w:val="21"/>
                <w:szCs w:val="21"/>
              </w:rPr>
              <w:t>动探孔</w:t>
            </w:r>
          </w:p>
        </w:tc>
        <w:tc>
          <w:tcPr>
            <w:tcW w:w="861" w:type="pct"/>
            <w:vAlign w:val="center"/>
          </w:tcPr>
          <w:p>
            <w:pPr>
              <w:widowControl/>
              <w:adjustRightInd w:val="0"/>
              <w:snapToGrid w:val="0"/>
              <w:jc w:val="center"/>
              <w:rPr>
                <w:rFonts w:eastAsia="Times New Roman"/>
                <w:sz w:val="21"/>
                <w:szCs w:val="21"/>
              </w:rPr>
            </w:pPr>
            <w:r>
              <w:rPr>
                <w:rFonts w:eastAsia="Times New Roman"/>
                <w:sz w:val="21"/>
                <w:szCs w:val="21"/>
              </w:rPr>
              <w:t>3234552.34</w:t>
            </w:r>
          </w:p>
        </w:tc>
        <w:tc>
          <w:tcPr>
            <w:tcW w:w="787" w:type="pct"/>
            <w:vAlign w:val="center"/>
          </w:tcPr>
          <w:p>
            <w:pPr>
              <w:widowControl/>
              <w:adjustRightInd w:val="0"/>
              <w:snapToGrid w:val="0"/>
              <w:jc w:val="center"/>
              <w:rPr>
                <w:rFonts w:eastAsia="Times New Roman"/>
                <w:sz w:val="21"/>
                <w:szCs w:val="21"/>
              </w:rPr>
            </w:pPr>
            <w:r>
              <w:rPr>
                <w:rFonts w:eastAsia="Times New Roman"/>
                <w:sz w:val="21"/>
                <w:szCs w:val="21"/>
              </w:rPr>
              <w:t>486854.50</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62.33</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15.60</w:t>
            </w:r>
          </w:p>
        </w:tc>
        <w:tc>
          <w:tcPr>
            <w:tcW w:w="451" w:type="pct"/>
            <w:vAlign w:val="center"/>
          </w:tcPr>
          <w:p>
            <w:pPr>
              <w:widowControl/>
              <w:adjustRightInd w:val="0"/>
              <w:snapToGrid w:val="0"/>
              <w:jc w:val="center"/>
              <w:rPr>
                <w:rFonts w:eastAsia="Times New Roman"/>
                <w:sz w:val="21"/>
                <w:szCs w:val="21"/>
              </w:rPr>
            </w:pPr>
            <w:r>
              <w:rPr>
                <w:rFonts w:eastAsia="Times New Roman"/>
                <w:sz w:val="21"/>
                <w:szCs w:val="21"/>
              </w:rPr>
              <w:t>2.30</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60.03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1" w:type="pct"/>
            <w:vAlign w:val="center"/>
          </w:tcPr>
          <w:p>
            <w:pPr>
              <w:widowControl/>
              <w:adjustRightInd w:val="0"/>
              <w:snapToGrid w:val="0"/>
              <w:jc w:val="center"/>
              <w:rPr>
                <w:rFonts w:eastAsia="Times New Roman"/>
                <w:sz w:val="21"/>
                <w:szCs w:val="21"/>
              </w:rPr>
            </w:pPr>
            <w:r>
              <w:rPr>
                <w:rFonts w:eastAsia="Times New Roman"/>
                <w:sz w:val="21"/>
                <w:szCs w:val="21"/>
              </w:rPr>
              <w:t>Z12</w:t>
            </w:r>
          </w:p>
        </w:tc>
        <w:tc>
          <w:tcPr>
            <w:tcW w:w="983" w:type="pct"/>
            <w:vAlign w:val="center"/>
          </w:tcPr>
          <w:p>
            <w:pPr>
              <w:widowControl/>
              <w:adjustRightInd w:val="0"/>
              <w:snapToGrid w:val="0"/>
              <w:jc w:val="center"/>
              <w:rPr>
                <w:rFonts w:eastAsia="Times New Roman"/>
                <w:sz w:val="21"/>
                <w:szCs w:val="21"/>
              </w:rPr>
            </w:pPr>
            <w:r>
              <w:rPr>
                <w:rFonts w:hint="eastAsia" w:ascii="宋体" w:hAnsi="宋体" w:eastAsia="Times New Roman" w:cs="宋体"/>
                <w:sz w:val="21"/>
                <w:szCs w:val="21"/>
              </w:rPr>
              <w:t>标贯</w:t>
            </w:r>
            <w:r>
              <w:rPr>
                <w:rFonts w:eastAsia="Times New Roman"/>
                <w:sz w:val="21"/>
                <w:szCs w:val="21"/>
              </w:rPr>
              <w:t>+</w:t>
            </w:r>
            <w:r>
              <w:rPr>
                <w:rFonts w:hint="eastAsia" w:ascii="宋体" w:hAnsi="宋体" w:eastAsia="Times New Roman" w:cs="宋体"/>
                <w:sz w:val="21"/>
                <w:szCs w:val="21"/>
              </w:rPr>
              <w:t>取土孔</w:t>
            </w:r>
          </w:p>
        </w:tc>
        <w:tc>
          <w:tcPr>
            <w:tcW w:w="861" w:type="pct"/>
            <w:vAlign w:val="center"/>
          </w:tcPr>
          <w:p>
            <w:pPr>
              <w:widowControl/>
              <w:adjustRightInd w:val="0"/>
              <w:snapToGrid w:val="0"/>
              <w:jc w:val="center"/>
              <w:rPr>
                <w:rFonts w:eastAsia="Times New Roman"/>
                <w:sz w:val="21"/>
                <w:szCs w:val="21"/>
              </w:rPr>
            </w:pPr>
            <w:r>
              <w:rPr>
                <w:rFonts w:eastAsia="Times New Roman"/>
                <w:sz w:val="21"/>
                <w:szCs w:val="21"/>
              </w:rPr>
              <w:t>3234557.11</w:t>
            </w:r>
          </w:p>
        </w:tc>
        <w:tc>
          <w:tcPr>
            <w:tcW w:w="787" w:type="pct"/>
            <w:vAlign w:val="center"/>
          </w:tcPr>
          <w:p>
            <w:pPr>
              <w:widowControl/>
              <w:adjustRightInd w:val="0"/>
              <w:snapToGrid w:val="0"/>
              <w:jc w:val="center"/>
              <w:rPr>
                <w:rFonts w:eastAsia="Times New Roman"/>
                <w:sz w:val="21"/>
                <w:szCs w:val="21"/>
              </w:rPr>
            </w:pPr>
            <w:r>
              <w:rPr>
                <w:rFonts w:eastAsia="Times New Roman"/>
                <w:sz w:val="21"/>
                <w:szCs w:val="21"/>
              </w:rPr>
              <w:t>486869.57</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62.29</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15.50</w:t>
            </w:r>
          </w:p>
        </w:tc>
        <w:tc>
          <w:tcPr>
            <w:tcW w:w="451" w:type="pct"/>
            <w:vAlign w:val="center"/>
          </w:tcPr>
          <w:p>
            <w:pPr>
              <w:widowControl/>
              <w:adjustRightInd w:val="0"/>
              <w:snapToGrid w:val="0"/>
              <w:jc w:val="center"/>
              <w:rPr>
                <w:rFonts w:eastAsia="Times New Roman"/>
                <w:sz w:val="21"/>
                <w:szCs w:val="21"/>
              </w:rPr>
            </w:pPr>
            <w:r>
              <w:rPr>
                <w:rFonts w:eastAsia="Times New Roman"/>
                <w:sz w:val="21"/>
                <w:szCs w:val="21"/>
              </w:rPr>
              <w:t>2.40</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59.89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1" w:type="pct"/>
            <w:vAlign w:val="center"/>
          </w:tcPr>
          <w:p>
            <w:pPr>
              <w:widowControl/>
              <w:adjustRightInd w:val="0"/>
              <w:snapToGrid w:val="0"/>
              <w:jc w:val="center"/>
              <w:rPr>
                <w:rFonts w:eastAsia="Times New Roman"/>
                <w:sz w:val="21"/>
                <w:szCs w:val="21"/>
              </w:rPr>
            </w:pPr>
            <w:r>
              <w:rPr>
                <w:rFonts w:eastAsia="Times New Roman"/>
                <w:sz w:val="21"/>
                <w:szCs w:val="21"/>
              </w:rPr>
              <w:t>Z13</w:t>
            </w:r>
          </w:p>
        </w:tc>
        <w:tc>
          <w:tcPr>
            <w:tcW w:w="983" w:type="pct"/>
            <w:vAlign w:val="center"/>
          </w:tcPr>
          <w:p>
            <w:pPr>
              <w:widowControl/>
              <w:adjustRightInd w:val="0"/>
              <w:snapToGrid w:val="0"/>
              <w:jc w:val="center"/>
              <w:rPr>
                <w:rFonts w:eastAsia="Times New Roman"/>
                <w:sz w:val="21"/>
                <w:szCs w:val="21"/>
              </w:rPr>
            </w:pPr>
            <w:r>
              <w:rPr>
                <w:rFonts w:hint="eastAsia" w:ascii="宋体" w:hAnsi="宋体" w:eastAsia="Times New Roman" w:cs="宋体"/>
                <w:sz w:val="21"/>
                <w:szCs w:val="21"/>
              </w:rPr>
              <w:t>标贯孔</w:t>
            </w:r>
          </w:p>
        </w:tc>
        <w:tc>
          <w:tcPr>
            <w:tcW w:w="861" w:type="pct"/>
            <w:vAlign w:val="center"/>
          </w:tcPr>
          <w:p>
            <w:pPr>
              <w:widowControl/>
              <w:adjustRightInd w:val="0"/>
              <w:snapToGrid w:val="0"/>
              <w:jc w:val="center"/>
              <w:rPr>
                <w:rFonts w:eastAsia="Times New Roman"/>
                <w:sz w:val="21"/>
                <w:szCs w:val="21"/>
              </w:rPr>
            </w:pPr>
            <w:r>
              <w:rPr>
                <w:rFonts w:eastAsia="Times New Roman"/>
                <w:sz w:val="21"/>
                <w:szCs w:val="21"/>
              </w:rPr>
              <w:t>3234562.58</w:t>
            </w:r>
          </w:p>
        </w:tc>
        <w:tc>
          <w:tcPr>
            <w:tcW w:w="787" w:type="pct"/>
            <w:vAlign w:val="center"/>
          </w:tcPr>
          <w:p>
            <w:pPr>
              <w:widowControl/>
              <w:adjustRightInd w:val="0"/>
              <w:snapToGrid w:val="0"/>
              <w:jc w:val="center"/>
              <w:rPr>
                <w:rFonts w:eastAsia="Times New Roman"/>
                <w:sz w:val="21"/>
                <w:szCs w:val="21"/>
              </w:rPr>
            </w:pPr>
            <w:r>
              <w:rPr>
                <w:rFonts w:eastAsia="Times New Roman"/>
                <w:sz w:val="21"/>
                <w:szCs w:val="21"/>
              </w:rPr>
              <w:t>486878.20</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62.38</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16.00</w:t>
            </w:r>
          </w:p>
        </w:tc>
        <w:tc>
          <w:tcPr>
            <w:tcW w:w="451" w:type="pct"/>
            <w:vAlign w:val="center"/>
          </w:tcPr>
          <w:p>
            <w:pPr>
              <w:widowControl/>
              <w:adjustRightInd w:val="0"/>
              <w:snapToGrid w:val="0"/>
              <w:jc w:val="center"/>
              <w:rPr>
                <w:rFonts w:eastAsia="Times New Roman"/>
                <w:sz w:val="21"/>
                <w:szCs w:val="21"/>
              </w:rPr>
            </w:pPr>
            <w:r>
              <w:rPr>
                <w:rFonts w:eastAsia="Times New Roman"/>
                <w:sz w:val="21"/>
                <w:szCs w:val="21"/>
              </w:rPr>
              <w:t>2.10</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60.28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1" w:type="pct"/>
            <w:vAlign w:val="center"/>
          </w:tcPr>
          <w:p>
            <w:pPr>
              <w:widowControl/>
              <w:adjustRightInd w:val="0"/>
              <w:snapToGrid w:val="0"/>
              <w:jc w:val="center"/>
              <w:rPr>
                <w:rFonts w:eastAsia="Times New Roman"/>
                <w:sz w:val="21"/>
                <w:szCs w:val="21"/>
              </w:rPr>
            </w:pPr>
            <w:r>
              <w:rPr>
                <w:rFonts w:eastAsia="Times New Roman"/>
                <w:sz w:val="21"/>
                <w:szCs w:val="21"/>
              </w:rPr>
              <w:t>Z14</w:t>
            </w:r>
          </w:p>
        </w:tc>
        <w:tc>
          <w:tcPr>
            <w:tcW w:w="983" w:type="pct"/>
            <w:vAlign w:val="center"/>
          </w:tcPr>
          <w:p>
            <w:pPr>
              <w:widowControl/>
              <w:adjustRightInd w:val="0"/>
              <w:snapToGrid w:val="0"/>
              <w:jc w:val="center"/>
              <w:rPr>
                <w:rFonts w:eastAsia="Times New Roman"/>
                <w:sz w:val="21"/>
                <w:szCs w:val="21"/>
              </w:rPr>
            </w:pPr>
            <w:r>
              <w:rPr>
                <w:rFonts w:hint="eastAsia" w:ascii="宋体" w:hAnsi="宋体" w:eastAsia="Times New Roman" w:cs="宋体"/>
                <w:sz w:val="21"/>
                <w:szCs w:val="21"/>
              </w:rPr>
              <w:t>标贯孔</w:t>
            </w:r>
          </w:p>
        </w:tc>
        <w:tc>
          <w:tcPr>
            <w:tcW w:w="861" w:type="pct"/>
            <w:vAlign w:val="center"/>
          </w:tcPr>
          <w:p>
            <w:pPr>
              <w:widowControl/>
              <w:adjustRightInd w:val="0"/>
              <w:snapToGrid w:val="0"/>
              <w:jc w:val="center"/>
              <w:rPr>
                <w:rFonts w:eastAsia="Times New Roman"/>
                <w:sz w:val="21"/>
                <w:szCs w:val="21"/>
              </w:rPr>
            </w:pPr>
            <w:r>
              <w:rPr>
                <w:rFonts w:eastAsia="Times New Roman"/>
                <w:sz w:val="21"/>
                <w:szCs w:val="21"/>
              </w:rPr>
              <w:t>3234565.59</w:t>
            </w:r>
          </w:p>
        </w:tc>
        <w:tc>
          <w:tcPr>
            <w:tcW w:w="787" w:type="pct"/>
            <w:vAlign w:val="center"/>
          </w:tcPr>
          <w:p>
            <w:pPr>
              <w:widowControl/>
              <w:adjustRightInd w:val="0"/>
              <w:snapToGrid w:val="0"/>
              <w:jc w:val="center"/>
              <w:rPr>
                <w:rFonts w:eastAsia="Times New Roman"/>
                <w:sz w:val="21"/>
                <w:szCs w:val="21"/>
              </w:rPr>
            </w:pPr>
            <w:r>
              <w:rPr>
                <w:rFonts w:eastAsia="Times New Roman"/>
                <w:sz w:val="21"/>
                <w:szCs w:val="21"/>
              </w:rPr>
              <w:t>486884.05</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62.45</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15.60</w:t>
            </w:r>
          </w:p>
        </w:tc>
        <w:tc>
          <w:tcPr>
            <w:tcW w:w="451" w:type="pct"/>
            <w:vAlign w:val="center"/>
          </w:tcPr>
          <w:p>
            <w:pPr>
              <w:widowControl/>
              <w:adjustRightInd w:val="0"/>
              <w:snapToGrid w:val="0"/>
              <w:jc w:val="center"/>
              <w:rPr>
                <w:rFonts w:eastAsia="Times New Roman"/>
                <w:sz w:val="21"/>
                <w:szCs w:val="21"/>
              </w:rPr>
            </w:pPr>
            <w:r>
              <w:rPr>
                <w:rFonts w:eastAsia="Times New Roman"/>
                <w:sz w:val="21"/>
                <w:szCs w:val="21"/>
              </w:rPr>
              <w:t>1.90</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60.55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1" w:type="pct"/>
            <w:vAlign w:val="center"/>
          </w:tcPr>
          <w:p>
            <w:pPr>
              <w:widowControl/>
              <w:adjustRightInd w:val="0"/>
              <w:snapToGrid w:val="0"/>
              <w:jc w:val="center"/>
              <w:rPr>
                <w:rFonts w:eastAsia="Times New Roman"/>
                <w:sz w:val="21"/>
                <w:szCs w:val="21"/>
              </w:rPr>
            </w:pPr>
            <w:r>
              <w:rPr>
                <w:rFonts w:eastAsia="Times New Roman"/>
                <w:sz w:val="21"/>
                <w:szCs w:val="21"/>
              </w:rPr>
              <w:t>Z15</w:t>
            </w:r>
          </w:p>
        </w:tc>
        <w:tc>
          <w:tcPr>
            <w:tcW w:w="983" w:type="pct"/>
            <w:vAlign w:val="center"/>
          </w:tcPr>
          <w:p>
            <w:pPr>
              <w:widowControl/>
              <w:adjustRightInd w:val="0"/>
              <w:snapToGrid w:val="0"/>
              <w:jc w:val="center"/>
              <w:rPr>
                <w:rFonts w:eastAsia="Times New Roman"/>
                <w:sz w:val="21"/>
                <w:szCs w:val="21"/>
              </w:rPr>
            </w:pPr>
            <w:r>
              <w:rPr>
                <w:rFonts w:hint="eastAsia" w:ascii="宋体" w:hAnsi="宋体" w:eastAsia="Times New Roman" w:cs="宋体"/>
                <w:sz w:val="21"/>
                <w:szCs w:val="21"/>
              </w:rPr>
              <w:t>标贯</w:t>
            </w:r>
            <w:r>
              <w:rPr>
                <w:rFonts w:eastAsia="Times New Roman"/>
                <w:sz w:val="21"/>
                <w:szCs w:val="21"/>
              </w:rPr>
              <w:t>+</w:t>
            </w:r>
            <w:r>
              <w:rPr>
                <w:rFonts w:hint="eastAsia" w:ascii="宋体" w:hAnsi="宋体" w:eastAsia="Times New Roman" w:cs="宋体"/>
                <w:sz w:val="21"/>
                <w:szCs w:val="21"/>
              </w:rPr>
              <w:t>动探孔</w:t>
            </w:r>
          </w:p>
        </w:tc>
        <w:tc>
          <w:tcPr>
            <w:tcW w:w="861" w:type="pct"/>
            <w:vAlign w:val="center"/>
          </w:tcPr>
          <w:p>
            <w:pPr>
              <w:widowControl/>
              <w:adjustRightInd w:val="0"/>
              <w:snapToGrid w:val="0"/>
              <w:jc w:val="center"/>
              <w:rPr>
                <w:rFonts w:eastAsia="Times New Roman"/>
                <w:sz w:val="21"/>
                <w:szCs w:val="21"/>
              </w:rPr>
            </w:pPr>
            <w:r>
              <w:rPr>
                <w:rFonts w:eastAsia="Times New Roman"/>
                <w:sz w:val="21"/>
                <w:szCs w:val="21"/>
              </w:rPr>
              <w:t>3234539.54</w:t>
            </w:r>
          </w:p>
        </w:tc>
        <w:tc>
          <w:tcPr>
            <w:tcW w:w="787" w:type="pct"/>
            <w:vAlign w:val="center"/>
          </w:tcPr>
          <w:p>
            <w:pPr>
              <w:widowControl/>
              <w:adjustRightInd w:val="0"/>
              <w:snapToGrid w:val="0"/>
              <w:jc w:val="center"/>
              <w:rPr>
                <w:rFonts w:eastAsia="Times New Roman"/>
                <w:sz w:val="21"/>
                <w:szCs w:val="21"/>
              </w:rPr>
            </w:pPr>
            <w:r>
              <w:rPr>
                <w:rFonts w:eastAsia="Times New Roman"/>
                <w:sz w:val="21"/>
                <w:szCs w:val="21"/>
              </w:rPr>
              <w:t>486851.92</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62.27</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15.50</w:t>
            </w:r>
          </w:p>
        </w:tc>
        <w:tc>
          <w:tcPr>
            <w:tcW w:w="451" w:type="pct"/>
            <w:vAlign w:val="center"/>
          </w:tcPr>
          <w:p>
            <w:pPr>
              <w:widowControl/>
              <w:adjustRightInd w:val="0"/>
              <w:snapToGrid w:val="0"/>
              <w:jc w:val="center"/>
              <w:rPr>
                <w:rFonts w:eastAsia="Times New Roman"/>
                <w:sz w:val="21"/>
                <w:szCs w:val="21"/>
              </w:rPr>
            </w:pPr>
            <w:r>
              <w:rPr>
                <w:rFonts w:eastAsia="Times New Roman"/>
                <w:sz w:val="21"/>
                <w:szCs w:val="21"/>
              </w:rPr>
              <w:t>2.50</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59.77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1" w:type="pct"/>
            <w:vAlign w:val="center"/>
          </w:tcPr>
          <w:p>
            <w:pPr>
              <w:widowControl/>
              <w:adjustRightInd w:val="0"/>
              <w:snapToGrid w:val="0"/>
              <w:jc w:val="center"/>
              <w:rPr>
                <w:rFonts w:eastAsia="Times New Roman"/>
                <w:sz w:val="21"/>
                <w:szCs w:val="21"/>
              </w:rPr>
            </w:pPr>
            <w:r>
              <w:rPr>
                <w:rFonts w:eastAsia="Times New Roman"/>
                <w:sz w:val="21"/>
                <w:szCs w:val="21"/>
              </w:rPr>
              <w:t>Z16</w:t>
            </w:r>
          </w:p>
        </w:tc>
        <w:tc>
          <w:tcPr>
            <w:tcW w:w="983" w:type="pct"/>
            <w:vAlign w:val="center"/>
          </w:tcPr>
          <w:p>
            <w:pPr>
              <w:widowControl/>
              <w:adjustRightInd w:val="0"/>
              <w:snapToGrid w:val="0"/>
              <w:jc w:val="center"/>
              <w:rPr>
                <w:rFonts w:eastAsia="Times New Roman"/>
                <w:sz w:val="21"/>
                <w:szCs w:val="21"/>
              </w:rPr>
            </w:pPr>
            <w:r>
              <w:rPr>
                <w:rFonts w:hint="eastAsia" w:ascii="宋体" w:hAnsi="宋体" w:eastAsia="Times New Roman" w:cs="宋体"/>
                <w:sz w:val="21"/>
                <w:szCs w:val="21"/>
              </w:rPr>
              <w:t>标贯</w:t>
            </w:r>
            <w:r>
              <w:rPr>
                <w:rFonts w:eastAsia="Times New Roman"/>
                <w:sz w:val="21"/>
                <w:szCs w:val="21"/>
              </w:rPr>
              <w:t>+</w:t>
            </w:r>
            <w:r>
              <w:rPr>
                <w:rFonts w:hint="eastAsia" w:ascii="宋体" w:hAnsi="宋体" w:eastAsia="Times New Roman" w:cs="宋体"/>
                <w:sz w:val="21"/>
                <w:szCs w:val="21"/>
              </w:rPr>
              <w:t>动探孔</w:t>
            </w:r>
          </w:p>
        </w:tc>
        <w:tc>
          <w:tcPr>
            <w:tcW w:w="861" w:type="pct"/>
            <w:vAlign w:val="center"/>
          </w:tcPr>
          <w:p>
            <w:pPr>
              <w:widowControl/>
              <w:adjustRightInd w:val="0"/>
              <w:snapToGrid w:val="0"/>
              <w:jc w:val="center"/>
              <w:rPr>
                <w:rFonts w:eastAsia="Times New Roman"/>
                <w:sz w:val="21"/>
                <w:szCs w:val="21"/>
              </w:rPr>
            </w:pPr>
            <w:r>
              <w:rPr>
                <w:rFonts w:eastAsia="Times New Roman"/>
                <w:sz w:val="21"/>
                <w:szCs w:val="21"/>
              </w:rPr>
              <w:t>3234544.52</w:t>
            </w:r>
          </w:p>
        </w:tc>
        <w:tc>
          <w:tcPr>
            <w:tcW w:w="787" w:type="pct"/>
            <w:vAlign w:val="center"/>
          </w:tcPr>
          <w:p>
            <w:pPr>
              <w:widowControl/>
              <w:adjustRightInd w:val="0"/>
              <w:snapToGrid w:val="0"/>
              <w:jc w:val="center"/>
              <w:rPr>
                <w:rFonts w:eastAsia="Times New Roman"/>
                <w:sz w:val="21"/>
                <w:szCs w:val="21"/>
              </w:rPr>
            </w:pPr>
            <w:r>
              <w:rPr>
                <w:rFonts w:eastAsia="Times New Roman"/>
                <w:sz w:val="21"/>
                <w:szCs w:val="21"/>
              </w:rPr>
              <w:t>486868.39</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62.22</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15.60</w:t>
            </w:r>
          </w:p>
        </w:tc>
        <w:tc>
          <w:tcPr>
            <w:tcW w:w="451" w:type="pct"/>
            <w:vAlign w:val="center"/>
          </w:tcPr>
          <w:p>
            <w:pPr>
              <w:widowControl/>
              <w:adjustRightInd w:val="0"/>
              <w:snapToGrid w:val="0"/>
              <w:jc w:val="center"/>
              <w:rPr>
                <w:rFonts w:eastAsia="Times New Roman"/>
                <w:sz w:val="21"/>
                <w:szCs w:val="21"/>
              </w:rPr>
            </w:pPr>
            <w:r>
              <w:rPr>
                <w:rFonts w:eastAsia="Times New Roman"/>
                <w:sz w:val="21"/>
                <w:szCs w:val="21"/>
              </w:rPr>
              <w:t>2.10</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60.12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1" w:type="pct"/>
            <w:vAlign w:val="center"/>
          </w:tcPr>
          <w:p>
            <w:pPr>
              <w:widowControl/>
              <w:adjustRightInd w:val="0"/>
              <w:snapToGrid w:val="0"/>
              <w:jc w:val="center"/>
              <w:rPr>
                <w:rFonts w:eastAsia="Times New Roman"/>
                <w:sz w:val="21"/>
                <w:szCs w:val="21"/>
              </w:rPr>
            </w:pPr>
            <w:r>
              <w:rPr>
                <w:rFonts w:eastAsia="Times New Roman"/>
                <w:sz w:val="21"/>
                <w:szCs w:val="21"/>
              </w:rPr>
              <w:t>Z17</w:t>
            </w:r>
          </w:p>
        </w:tc>
        <w:tc>
          <w:tcPr>
            <w:tcW w:w="983" w:type="pct"/>
            <w:vAlign w:val="center"/>
          </w:tcPr>
          <w:p>
            <w:pPr>
              <w:widowControl/>
              <w:adjustRightInd w:val="0"/>
              <w:snapToGrid w:val="0"/>
              <w:jc w:val="center"/>
              <w:rPr>
                <w:rFonts w:eastAsia="Times New Roman"/>
                <w:sz w:val="21"/>
                <w:szCs w:val="21"/>
              </w:rPr>
            </w:pPr>
            <w:r>
              <w:rPr>
                <w:rFonts w:hint="eastAsia" w:ascii="宋体" w:hAnsi="宋体" w:eastAsia="Times New Roman" w:cs="宋体"/>
                <w:sz w:val="21"/>
                <w:szCs w:val="21"/>
              </w:rPr>
              <w:t>钻探孔</w:t>
            </w:r>
          </w:p>
        </w:tc>
        <w:tc>
          <w:tcPr>
            <w:tcW w:w="861" w:type="pct"/>
            <w:vAlign w:val="center"/>
          </w:tcPr>
          <w:p>
            <w:pPr>
              <w:widowControl/>
              <w:adjustRightInd w:val="0"/>
              <w:snapToGrid w:val="0"/>
              <w:jc w:val="center"/>
              <w:rPr>
                <w:rFonts w:eastAsia="Times New Roman"/>
                <w:sz w:val="21"/>
                <w:szCs w:val="21"/>
              </w:rPr>
            </w:pPr>
            <w:r>
              <w:rPr>
                <w:rFonts w:eastAsia="Times New Roman"/>
                <w:sz w:val="21"/>
                <w:szCs w:val="21"/>
              </w:rPr>
              <w:t>3234550.46</w:t>
            </w:r>
          </w:p>
        </w:tc>
        <w:tc>
          <w:tcPr>
            <w:tcW w:w="787" w:type="pct"/>
            <w:vAlign w:val="center"/>
          </w:tcPr>
          <w:p>
            <w:pPr>
              <w:widowControl/>
              <w:adjustRightInd w:val="0"/>
              <w:snapToGrid w:val="0"/>
              <w:jc w:val="center"/>
              <w:rPr>
                <w:rFonts w:eastAsia="Times New Roman"/>
                <w:sz w:val="21"/>
                <w:szCs w:val="21"/>
              </w:rPr>
            </w:pPr>
            <w:r>
              <w:rPr>
                <w:rFonts w:eastAsia="Times New Roman"/>
                <w:sz w:val="21"/>
                <w:szCs w:val="21"/>
              </w:rPr>
              <w:t>486883.57</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62.15</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15.60</w:t>
            </w:r>
          </w:p>
        </w:tc>
        <w:tc>
          <w:tcPr>
            <w:tcW w:w="451" w:type="pct"/>
            <w:vAlign w:val="center"/>
          </w:tcPr>
          <w:p>
            <w:pPr>
              <w:widowControl/>
              <w:adjustRightInd w:val="0"/>
              <w:snapToGrid w:val="0"/>
              <w:jc w:val="center"/>
              <w:rPr>
                <w:rFonts w:eastAsia="Times New Roman"/>
                <w:sz w:val="21"/>
                <w:szCs w:val="21"/>
              </w:rPr>
            </w:pPr>
            <w:r>
              <w:rPr>
                <w:rFonts w:eastAsia="Times New Roman"/>
                <w:sz w:val="21"/>
                <w:szCs w:val="21"/>
              </w:rPr>
              <w:t>2.30</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59.85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1" w:type="pct"/>
            <w:vAlign w:val="center"/>
          </w:tcPr>
          <w:p>
            <w:pPr>
              <w:widowControl/>
              <w:adjustRightInd w:val="0"/>
              <w:snapToGrid w:val="0"/>
              <w:jc w:val="center"/>
              <w:rPr>
                <w:rFonts w:eastAsia="Times New Roman"/>
                <w:sz w:val="21"/>
                <w:szCs w:val="21"/>
              </w:rPr>
            </w:pPr>
            <w:r>
              <w:rPr>
                <w:rFonts w:eastAsia="Times New Roman"/>
                <w:sz w:val="21"/>
                <w:szCs w:val="21"/>
              </w:rPr>
              <w:t>Z18</w:t>
            </w:r>
          </w:p>
        </w:tc>
        <w:tc>
          <w:tcPr>
            <w:tcW w:w="983" w:type="pct"/>
            <w:vAlign w:val="center"/>
          </w:tcPr>
          <w:p>
            <w:pPr>
              <w:widowControl/>
              <w:adjustRightInd w:val="0"/>
              <w:snapToGrid w:val="0"/>
              <w:jc w:val="center"/>
              <w:rPr>
                <w:rFonts w:eastAsia="Times New Roman"/>
                <w:sz w:val="21"/>
                <w:szCs w:val="21"/>
              </w:rPr>
            </w:pPr>
            <w:r>
              <w:rPr>
                <w:rFonts w:hint="eastAsia" w:ascii="宋体" w:hAnsi="宋体" w:eastAsia="Times New Roman" w:cs="宋体"/>
                <w:sz w:val="21"/>
                <w:szCs w:val="21"/>
              </w:rPr>
              <w:t>取土孔</w:t>
            </w:r>
          </w:p>
        </w:tc>
        <w:tc>
          <w:tcPr>
            <w:tcW w:w="861" w:type="pct"/>
            <w:vAlign w:val="center"/>
          </w:tcPr>
          <w:p>
            <w:pPr>
              <w:widowControl/>
              <w:adjustRightInd w:val="0"/>
              <w:snapToGrid w:val="0"/>
              <w:jc w:val="center"/>
              <w:rPr>
                <w:rFonts w:eastAsia="Times New Roman"/>
                <w:sz w:val="21"/>
                <w:szCs w:val="21"/>
              </w:rPr>
            </w:pPr>
            <w:r>
              <w:rPr>
                <w:rFonts w:eastAsia="Times New Roman"/>
                <w:sz w:val="21"/>
                <w:szCs w:val="21"/>
              </w:rPr>
              <w:t>3234547.26</w:t>
            </w:r>
          </w:p>
        </w:tc>
        <w:tc>
          <w:tcPr>
            <w:tcW w:w="787" w:type="pct"/>
            <w:vAlign w:val="center"/>
          </w:tcPr>
          <w:p>
            <w:pPr>
              <w:widowControl/>
              <w:adjustRightInd w:val="0"/>
              <w:snapToGrid w:val="0"/>
              <w:jc w:val="center"/>
              <w:rPr>
                <w:rFonts w:eastAsia="Times New Roman"/>
                <w:sz w:val="21"/>
                <w:szCs w:val="21"/>
              </w:rPr>
            </w:pPr>
            <w:r>
              <w:rPr>
                <w:rFonts w:eastAsia="Times New Roman"/>
                <w:sz w:val="21"/>
                <w:szCs w:val="21"/>
              </w:rPr>
              <w:t>486890.37</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61.99</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16.00</w:t>
            </w:r>
          </w:p>
        </w:tc>
        <w:tc>
          <w:tcPr>
            <w:tcW w:w="451" w:type="pct"/>
            <w:vAlign w:val="center"/>
          </w:tcPr>
          <w:p>
            <w:pPr>
              <w:widowControl/>
              <w:adjustRightInd w:val="0"/>
              <w:snapToGrid w:val="0"/>
              <w:jc w:val="center"/>
              <w:rPr>
                <w:rFonts w:eastAsia="Times New Roman"/>
                <w:sz w:val="21"/>
                <w:szCs w:val="21"/>
              </w:rPr>
            </w:pPr>
            <w:r>
              <w:rPr>
                <w:rFonts w:eastAsia="Times New Roman"/>
                <w:sz w:val="21"/>
                <w:szCs w:val="21"/>
              </w:rPr>
              <w:t>2.10</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59.89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1" w:type="pct"/>
            <w:vAlign w:val="center"/>
          </w:tcPr>
          <w:p>
            <w:pPr>
              <w:widowControl/>
              <w:adjustRightInd w:val="0"/>
              <w:snapToGrid w:val="0"/>
              <w:jc w:val="center"/>
              <w:rPr>
                <w:rFonts w:eastAsia="Times New Roman"/>
                <w:sz w:val="21"/>
                <w:szCs w:val="21"/>
              </w:rPr>
            </w:pPr>
            <w:r>
              <w:rPr>
                <w:rFonts w:eastAsia="Times New Roman"/>
                <w:sz w:val="21"/>
                <w:szCs w:val="21"/>
              </w:rPr>
              <w:t>Z19</w:t>
            </w:r>
          </w:p>
        </w:tc>
        <w:tc>
          <w:tcPr>
            <w:tcW w:w="983" w:type="pct"/>
            <w:vAlign w:val="center"/>
          </w:tcPr>
          <w:p>
            <w:pPr>
              <w:widowControl/>
              <w:adjustRightInd w:val="0"/>
              <w:snapToGrid w:val="0"/>
              <w:jc w:val="center"/>
              <w:rPr>
                <w:rFonts w:eastAsia="Times New Roman"/>
                <w:sz w:val="21"/>
                <w:szCs w:val="21"/>
              </w:rPr>
            </w:pPr>
            <w:r>
              <w:rPr>
                <w:rFonts w:hint="eastAsia" w:ascii="宋体" w:hAnsi="宋体" w:eastAsia="Times New Roman" w:cs="宋体"/>
                <w:sz w:val="21"/>
                <w:szCs w:val="21"/>
              </w:rPr>
              <w:t>动探孔</w:t>
            </w:r>
          </w:p>
        </w:tc>
        <w:tc>
          <w:tcPr>
            <w:tcW w:w="861" w:type="pct"/>
            <w:vAlign w:val="center"/>
          </w:tcPr>
          <w:p>
            <w:pPr>
              <w:widowControl/>
              <w:adjustRightInd w:val="0"/>
              <w:snapToGrid w:val="0"/>
              <w:jc w:val="center"/>
              <w:rPr>
                <w:rFonts w:eastAsia="Times New Roman"/>
                <w:sz w:val="21"/>
                <w:szCs w:val="21"/>
              </w:rPr>
            </w:pPr>
            <w:r>
              <w:rPr>
                <w:rFonts w:eastAsia="Times New Roman"/>
                <w:sz w:val="21"/>
                <w:szCs w:val="21"/>
              </w:rPr>
              <w:t>3234529.55</w:t>
            </w:r>
          </w:p>
        </w:tc>
        <w:tc>
          <w:tcPr>
            <w:tcW w:w="787" w:type="pct"/>
            <w:vAlign w:val="center"/>
          </w:tcPr>
          <w:p>
            <w:pPr>
              <w:widowControl/>
              <w:adjustRightInd w:val="0"/>
              <w:snapToGrid w:val="0"/>
              <w:jc w:val="center"/>
              <w:rPr>
                <w:rFonts w:eastAsia="Times New Roman"/>
                <w:sz w:val="21"/>
                <w:szCs w:val="21"/>
              </w:rPr>
            </w:pPr>
            <w:r>
              <w:rPr>
                <w:rFonts w:eastAsia="Times New Roman"/>
                <w:sz w:val="21"/>
                <w:szCs w:val="21"/>
              </w:rPr>
              <w:t>486862.95</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62.14</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15.00</w:t>
            </w:r>
          </w:p>
        </w:tc>
        <w:tc>
          <w:tcPr>
            <w:tcW w:w="451" w:type="pct"/>
            <w:vAlign w:val="center"/>
          </w:tcPr>
          <w:p>
            <w:pPr>
              <w:widowControl/>
              <w:adjustRightInd w:val="0"/>
              <w:snapToGrid w:val="0"/>
              <w:jc w:val="center"/>
              <w:rPr>
                <w:rFonts w:eastAsia="Times New Roman"/>
                <w:sz w:val="21"/>
                <w:szCs w:val="21"/>
              </w:rPr>
            </w:pPr>
            <w:r>
              <w:rPr>
                <w:rFonts w:eastAsia="Times New Roman"/>
                <w:sz w:val="21"/>
                <w:szCs w:val="21"/>
              </w:rPr>
              <w:t>2.30</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59.84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1" w:type="pct"/>
            <w:vAlign w:val="center"/>
          </w:tcPr>
          <w:p>
            <w:pPr>
              <w:widowControl/>
              <w:adjustRightInd w:val="0"/>
              <w:snapToGrid w:val="0"/>
              <w:jc w:val="center"/>
              <w:rPr>
                <w:rFonts w:eastAsia="Times New Roman"/>
                <w:sz w:val="21"/>
                <w:szCs w:val="21"/>
              </w:rPr>
            </w:pPr>
            <w:r>
              <w:rPr>
                <w:rFonts w:eastAsia="Times New Roman"/>
                <w:sz w:val="21"/>
                <w:szCs w:val="21"/>
              </w:rPr>
              <w:t>Z20</w:t>
            </w:r>
          </w:p>
        </w:tc>
        <w:tc>
          <w:tcPr>
            <w:tcW w:w="983" w:type="pct"/>
            <w:vAlign w:val="center"/>
          </w:tcPr>
          <w:p>
            <w:pPr>
              <w:widowControl/>
              <w:adjustRightInd w:val="0"/>
              <w:snapToGrid w:val="0"/>
              <w:jc w:val="center"/>
              <w:rPr>
                <w:rFonts w:eastAsia="Times New Roman"/>
                <w:sz w:val="21"/>
                <w:szCs w:val="21"/>
              </w:rPr>
            </w:pPr>
            <w:r>
              <w:rPr>
                <w:rFonts w:hint="eastAsia" w:ascii="宋体" w:hAnsi="宋体" w:eastAsia="Times New Roman" w:cs="宋体"/>
                <w:sz w:val="21"/>
                <w:szCs w:val="21"/>
              </w:rPr>
              <w:t>标贯孔</w:t>
            </w:r>
          </w:p>
        </w:tc>
        <w:tc>
          <w:tcPr>
            <w:tcW w:w="861" w:type="pct"/>
            <w:vAlign w:val="center"/>
          </w:tcPr>
          <w:p>
            <w:pPr>
              <w:widowControl/>
              <w:adjustRightInd w:val="0"/>
              <w:snapToGrid w:val="0"/>
              <w:jc w:val="center"/>
              <w:rPr>
                <w:rFonts w:eastAsia="Times New Roman"/>
                <w:sz w:val="21"/>
                <w:szCs w:val="21"/>
              </w:rPr>
            </w:pPr>
            <w:r>
              <w:rPr>
                <w:rFonts w:eastAsia="Times New Roman"/>
                <w:sz w:val="21"/>
                <w:szCs w:val="21"/>
              </w:rPr>
              <w:t>3234533.43</w:t>
            </w:r>
          </w:p>
        </w:tc>
        <w:tc>
          <w:tcPr>
            <w:tcW w:w="787" w:type="pct"/>
            <w:vAlign w:val="center"/>
          </w:tcPr>
          <w:p>
            <w:pPr>
              <w:widowControl/>
              <w:adjustRightInd w:val="0"/>
              <w:snapToGrid w:val="0"/>
              <w:jc w:val="center"/>
              <w:rPr>
                <w:rFonts w:eastAsia="Times New Roman"/>
                <w:sz w:val="21"/>
                <w:szCs w:val="21"/>
              </w:rPr>
            </w:pPr>
            <w:r>
              <w:rPr>
                <w:rFonts w:eastAsia="Times New Roman"/>
                <w:sz w:val="21"/>
                <w:szCs w:val="21"/>
              </w:rPr>
              <w:t>486872.84</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61.93</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17.60</w:t>
            </w:r>
          </w:p>
        </w:tc>
        <w:tc>
          <w:tcPr>
            <w:tcW w:w="451" w:type="pct"/>
            <w:vAlign w:val="center"/>
          </w:tcPr>
          <w:p>
            <w:pPr>
              <w:widowControl/>
              <w:adjustRightInd w:val="0"/>
              <w:snapToGrid w:val="0"/>
              <w:jc w:val="center"/>
              <w:rPr>
                <w:rFonts w:eastAsia="Times New Roman"/>
                <w:sz w:val="21"/>
                <w:szCs w:val="21"/>
              </w:rPr>
            </w:pPr>
            <w:r>
              <w:rPr>
                <w:rFonts w:eastAsia="Times New Roman"/>
                <w:sz w:val="21"/>
                <w:szCs w:val="21"/>
              </w:rPr>
              <w:t>1.60</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60.33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1" w:type="pct"/>
            <w:vAlign w:val="center"/>
          </w:tcPr>
          <w:p>
            <w:pPr>
              <w:widowControl/>
              <w:adjustRightInd w:val="0"/>
              <w:snapToGrid w:val="0"/>
              <w:jc w:val="center"/>
              <w:rPr>
                <w:rFonts w:eastAsia="Times New Roman"/>
                <w:sz w:val="21"/>
                <w:szCs w:val="21"/>
              </w:rPr>
            </w:pPr>
            <w:r>
              <w:rPr>
                <w:rFonts w:eastAsia="Times New Roman"/>
                <w:sz w:val="21"/>
                <w:szCs w:val="21"/>
              </w:rPr>
              <w:t>Z21</w:t>
            </w:r>
          </w:p>
        </w:tc>
        <w:tc>
          <w:tcPr>
            <w:tcW w:w="983" w:type="pct"/>
            <w:vAlign w:val="center"/>
          </w:tcPr>
          <w:p>
            <w:pPr>
              <w:widowControl/>
              <w:adjustRightInd w:val="0"/>
              <w:snapToGrid w:val="0"/>
              <w:jc w:val="center"/>
              <w:rPr>
                <w:rFonts w:eastAsia="Times New Roman"/>
                <w:sz w:val="21"/>
                <w:szCs w:val="21"/>
              </w:rPr>
            </w:pPr>
            <w:r>
              <w:rPr>
                <w:rFonts w:hint="eastAsia" w:ascii="宋体" w:hAnsi="宋体" w:eastAsia="Times New Roman" w:cs="宋体"/>
                <w:sz w:val="21"/>
                <w:szCs w:val="21"/>
              </w:rPr>
              <w:t>钻探孔</w:t>
            </w:r>
          </w:p>
        </w:tc>
        <w:tc>
          <w:tcPr>
            <w:tcW w:w="861" w:type="pct"/>
            <w:vAlign w:val="center"/>
          </w:tcPr>
          <w:p>
            <w:pPr>
              <w:widowControl/>
              <w:adjustRightInd w:val="0"/>
              <w:snapToGrid w:val="0"/>
              <w:jc w:val="center"/>
              <w:rPr>
                <w:rFonts w:eastAsia="Times New Roman"/>
                <w:sz w:val="21"/>
                <w:szCs w:val="21"/>
              </w:rPr>
            </w:pPr>
            <w:r>
              <w:rPr>
                <w:rFonts w:eastAsia="Times New Roman"/>
                <w:sz w:val="21"/>
                <w:szCs w:val="21"/>
              </w:rPr>
              <w:t>3234537.82</w:t>
            </w:r>
          </w:p>
        </w:tc>
        <w:tc>
          <w:tcPr>
            <w:tcW w:w="787" w:type="pct"/>
            <w:vAlign w:val="center"/>
          </w:tcPr>
          <w:p>
            <w:pPr>
              <w:widowControl/>
              <w:adjustRightInd w:val="0"/>
              <w:snapToGrid w:val="0"/>
              <w:jc w:val="center"/>
              <w:rPr>
                <w:rFonts w:eastAsia="Times New Roman"/>
                <w:sz w:val="21"/>
                <w:szCs w:val="21"/>
              </w:rPr>
            </w:pPr>
            <w:r>
              <w:rPr>
                <w:rFonts w:eastAsia="Times New Roman"/>
                <w:sz w:val="21"/>
                <w:szCs w:val="21"/>
              </w:rPr>
              <w:t>486888.28</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61.90</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17.60</w:t>
            </w:r>
          </w:p>
        </w:tc>
        <w:tc>
          <w:tcPr>
            <w:tcW w:w="451" w:type="pct"/>
            <w:vAlign w:val="center"/>
          </w:tcPr>
          <w:p>
            <w:pPr>
              <w:widowControl/>
              <w:adjustRightInd w:val="0"/>
              <w:snapToGrid w:val="0"/>
              <w:jc w:val="center"/>
              <w:rPr>
                <w:rFonts w:eastAsia="Times New Roman"/>
                <w:sz w:val="21"/>
                <w:szCs w:val="21"/>
              </w:rPr>
            </w:pPr>
            <w:r>
              <w:rPr>
                <w:rFonts w:eastAsia="Times New Roman"/>
                <w:sz w:val="21"/>
                <w:szCs w:val="21"/>
              </w:rPr>
              <w:t>2.10</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59.80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1" w:type="pct"/>
            <w:vAlign w:val="center"/>
          </w:tcPr>
          <w:p>
            <w:pPr>
              <w:widowControl/>
              <w:adjustRightInd w:val="0"/>
              <w:snapToGrid w:val="0"/>
              <w:jc w:val="center"/>
              <w:rPr>
                <w:rFonts w:eastAsia="Times New Roman"/>
                <w:sz w:val="21"/>
                <w:szCs w:val="21"/>
              </w:rPr>
            </w:pPr>
            <w:r>
              <w:rPr>
                <w:rFonts w:eastAsia="Times New Roman"/>
                <w:sz w:val="21"/>
                <w:szCs w:val="21"/>
              </w:rPr>
              <w:t>Z22</w:t>
            </w:r>
          </w:p>
        </w:tc>
        <w:tc>
          <w:tcPr>
            <w:tcW w:w="983" w:type="pct"/>
            <w:vAlign w:val="center"/>
          </w:tcPr>
          <w:p>
            <w:pPr>
              <w:widowControl/>
              <w:adjustRightInd w:val="0"/>
              <w:snapToGrid w:val="0"/>
              <w:jc w:val="center"/>
              <w:rPr>
                <w:rFonts w:eastAsia="Times New Roman"/>
                <w:sz w:val="21"/>
                <w:szCs w:val="21"/>
              </w:rPr>
            </w:pPr>
            <w:r>
              <w:rPr>
                <w:rFonts w:hint="eastAsia" w:ascii="宋体" w:hAnsi="宋体" w:eastAsia="Times New Roman" w:cs="宋体"/>
                <w:sz w:val="21"/>
                <w:szCs w:val="21"/>
              </w:rPr>
              <w:t>钻探孔</w:t>
            </w:r>
          </w:p>
        </w:tc>
        <w:tc>
          <w:tcPr>
            <w:tcW w:w="861" w:type="pct"/>
            <w:vAlign w:val="center"/>
          </w:tcPr>
          <w:p>
            <w:pPr>
              <w:widowControl/>
              <w:adjustRightInd w:val="0"/>
              <w:snapToGrid w:val="0"/>
              <w:jc w:val="center"/>
              <w:rPr>
                <w:rFonts w:eastAsia="Times New Roman"/>
                <w:sz w:val="21"/>
                <w:szCs w:val="21"/>
              </w:rPr>
            </w:pPr>
            <w:r>
              <w:rPr>
                <w:rFonts w:eastAsia="Times New Roman"/>
                <w:sz w:val="21"/>
                <w:szCs w:val="21"/>
              </w:rPr>
              <w:t>3234515.01</w:t>
            </w:r>
          </w:p>
        </w:tc>
        <w:tc>
          <w:tcPr>
            <w:tcW w:w="787" w:type="pct"/>
            <w:vAlign w:val="center"/>
          </w:tcPr>
          <w:p>
            <w:pPr>
              <w:widowControl/>
              <w:adjustRightInd w:val="0"/>
              <w:snapToGrid w:val="0"/>
              <w:jc w:val="center"/>
              <w:rPr>
                <w:rFonts w:eastAsia="Times New Roman"/>
                <w:sz w:val="21"/>
                <w:szCs w:val="21"/>
              </w:rPr>
            </w:pPr>
            <w:r>
              <w:rPr>
                <w:rFonts w:eastAsia="Times New Roman"/>
                <w:sz w:val="21"/>
                <w:szCs w:val="21"/>
              </w:rPr>
              <w:t>486859.79</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62.39</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16.00</w:t>
            </w:r>
          </w:p>
        </w:tc>
        <w:tc>
          <w:tcPr>
            <w:tcW w:w="451" w:type="pct"/>
            <w:vAlign w:val="center"/>
          </w:tcPr>
          <w:p>
            <w:pPr>
              <w:widowControl/>
              <w:adjustRightInd w:val="0"/>
              <w:snapToGrid w:val="0"/>
              <w:jc w:val="center"/>
              <w:rPr>
                <w:rFonts w:eastAsia="Times New Roman"/>
                <w:sz w:val="21"/>
                <w:szCs w:val="21"/>
              </w:rPr>
            </w:pPr>
            <w:r>
              <w:rPr>
                <w:rFonts w:eastAsia="Times New Roman"/>
                <w:sz w:val="21"/>
                <w:szCs w:val="21"/>
              </w:rPr>
              <w:t>2.20</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60.19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1" w:type="pct"/>
            <w:vAlign w:val="center"/>
          </w:tcPr>
          <w:p>
            <w:pPr>
              <w:widowControl/>
              <w:adjustRightInd w:val="0"/>
              <w:snapToGrid w:val="0"/>
              <w:jc w:val="center"/>
              <w:rPr>
                <w:rFonts w:eastAsia="Times New Roman"/>
                <w:sz w:val="21"/>
                <w:szCs w:val="21"/>
              </w:rPr>
            </w:pPr>
            <w:r>
              <w:rPr>
                <w:rFonts w:eastAsia="Times New Roman"/>
                <w:sz w:val="21"/>
                <w:szCs w:val="21"/>
              </w:rPr>
              <w:t>Z23</w:t>
            </w:r>
          </w:p>
        </w:tc>
        <w:tc>
          <w:tcPr>
            <w:tcW w:w="983" w:type="pct"/>
            <w:vAlign w:val="center"/>
          </w:tcPr>
          <w:p>
            <w:pPr>
              <w:widowControl/>
              <w:adjustRightInd w:val="0"/>
              <w:snapToGrid w:val="0"/>
              <w:jc w:val="center"/>
              <w:rPr>
                <w:rFonts w:eastAsia="Times New Roman"/>
                <w:sz w:val="21"/>
                <w:szCs w:val="21"/>
              </w:rPr>
            </w:pPr>
            <w:r>
              <w:rPr>
                <w:rFonts w:hint="eastAsia" w:ascii="宋体" w:hAnsi="宋体" w:eastAsia="Times New Roman" w:cs="宋体"/>
                <w:sz w:val="21"/>
                <w:szCs w:val="21"/>
              </w:rPr>
              <w:t>钻探孔</w:t>
            </w:r>
          </w:p>
        </w:tc>
        <w:tc>
          <w:tcPr>
            <w:tcW w:w="861" w:type="pct"/>
            <w:vAlign w:val="center"/>
          </w:tcPr>
          <w:p>
            <w:pPr>
              <w:widowControl/>
              <w:adjustRightInd w:val="0"/>
              <w:snapToGrid w:val="0"/>
              <w:jc w:val="center"/>
              <w:rPr>
                <w:rFonts w:eastAsia="Times New Roman"/>
                <w:sz w:val="21"/>
                <w:szCs w:val="21"/>
              </w:rPr>
            </w:pPr>
            <w:r>
              <w:rPr>
                <w:rFonts w:eastAsia="Times New Roman"/>
                <w:sz w:val="21"/>
                <w:szCs w:val="21"/>
              </w:rPr>
              <w:t>3234516.17</w:t>
            </w:r>
          </w:p>
        </w:tc>
        <w:tc>
          <w:tcPr>
            <w:tcW w:w="787" w:type="pct"/>
            <w:vAlign w:val="center"/>
          </w:tcPr>
          <w:p>
            <w:pPr>
              <w:widowControl/>
              <w:adjustRightInd w:val="0"/>
              <w:snapToGrid w:val="0"/>
              <w:jc w:val="center"/>
              <w:rPr>
                <w:rFonts w:eastAsia="Times New Roman"/>
                <w:sz w:val="21"/>
                <w:szCs w:val="21"/>
              </w:rPr>
            </w:pPr>
            <w:r>
              <w:rPr>
                <w:rFonts w:eastAsia="Times New Roman"/>
                <w:sz w:val="21"/>
                <w:szCs w:val="21"/>
              </w:rPr>
              <w:t>486867.23</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62.33</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16.00</w:t>
            </w:r>
          </w:p>
        </w:tc>
        <w:tc>
          <w:tcPr>
            <w:tcW w:w="451" w:type="pct"/>
            <w:vAlign w:val="center"/>
          </w:tcPr>
          <w:p>
            <w:pPr>
              <w:widowControl/>
              <w:adjustRightInd w:val="0"/>
              <w:snapToGrid w:val="0"/>
              <w:jc w:val="center"/>
              <w:rPr>
                <w:rFonts w:eastAsia="Times New Roman"/>
                <w:sz w:val="21"/>
                <w:szCs w:val="21"/>
              </w:rPr>
            </w:pPr>
            <w:r>
              <w:rPr>
                <w:rFonts w:eastAsia="Times New Roman"/>
                <w:sz w:val="21"/>
                <w:szCs w:val="21"/>
              </w:rPr>
              <w:t>2.20</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60.13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1" w:type="pct"/>
            <w:vAlign w:val="center"/>
          </w:tcPr>
          <w:p>
            <w:pPr>
              <w:widowControl/>
              <w:adjustRightInd w:val="0"/>
              <w:snapToGrid w:val="0"/>
              <w:jc w:val="center"/>
              <w:rPr>
                <w:rFonts w:eastAsia="Times New Roman"/>
                <w:sz w:val="21"/>
                <w:szCs w:val="21"/>
              </w:rPr>
            </w:pPr>
            <w:r>
              <w:rPr>
                <w:rFonts w:eastAsia="Times New Roman"/>
                <w:sz w:val="21"/>
                <w:szCs w:val="21"/>
              </w:rPr>
              <w:t>Z24</w:t>
            </w:r>
          </w:p>
        </w:tc>
        <w:tc>
          <w:tcPr>
            <w:tcW w:w="983" w:type="pct"/>
            <w:vAlign w:val="center"/>
          </w:tcPr>
          <w:p>
            <w:pPr>
              <w:widowControl/>
              <w:adjustRightInd w:val="0"/>
              <w:snapToGrid w:val="0"/>
              <w:jc w:val="center"/>
              <w:rPr>
                <w:rFonts w:eastAsia="Times New Roman"/>
                <w:sz w:val="21"/>
                <w:szCs w:val="21"/>
              </w:rPr>
            </w:pPr>
            <w:r>
              <w:rPr>
                <w:rFonts w:hint="eastAsia" w:ascii="宋体" w:hAnsi="宋体" w:eastAsia="Times New Roman" w:cs="宋体"/>
                <w:sz w:val="21"/>
                <w:szCs w:val="21"/>
              </w:rPr>
              <w:t>动探</w:t>
            </w:r>
            <w:r>
              <w:rPr>
                <w:rFonts w:eastAsia="Times New Roman"/>
                <w:sz w:val="21"/>
                <w:szCs w:val="21"/>
              </w:rPr>
              <w:t>+</w:t>
            </w:r>
            <w:r>
              <w:rPr>
                <w:rFonts w:hint="eastAsia" w:ascii="宋体" w:hAnsi="宋体" w:eastAsia="Times New Roman" w:cs="宋体"/>
                <w:sz w:val="21"/>
                <w:szCs w:val="21"/>
              </w:rPr>
              <w:t>取土孔</w:t>
            </w:r>
          </w:p>
        </w:tc>
        <w:tc>
          <w:tcPr>
            <w:tcW w:w="861" w:type="pct"/>
            <w:vAlign w:val="center"/>
          </w:tcPr>
          <w:p>
            <w:pPr>
              <w:widowControl/>
              <w:adjustRightInd w:val="0"/>
              <w:snapToGrid w:val="0"/>
              <w:jc w:val="center"/>
              <w:rPr>
                <w:rFonts w:eastAsia="Times New Roman"/>
                <w:sz w:val="21"/>
                <w:szCs w:val="21"/>
              </w:rPr>
            </w:pPr>
            <w:r>
              <w:rPr>
                <w:rFonts w:eastAsia="Times New Roman"/>
                <w:sz w:val="21"/>
                <w:szCs w:val="21"/>
              </w:rPr>
              <w:t>3234519.50</w:t>
            </w:r>
          </w:p>
        </w:tc>
        <w:tc>
          <w:tcPr>
            <w:tcW w:w="787" w:type="pct"/>
            <w:vAlign w:val="center"/>
          </w:tcPr>
          <w:p>
            <w:pPr>
              <w:widowControl/>
              <w:adjustRightInd w:val="0"/>
              <w:snapToGrid w:val="0"/>
              <w:jc w:val="center"/>
              <w:rPr>
                <w:rFonts w:eastAsia="Times New Roman"/>
                <w:sz w:val="21"/>
                <w:szCs w:val="21"/>
              </w:rPr>
            </w:pPr>
            <w:r>
              <w:rPr>
                <w:rFonts w:eastAsia="Times New Roman"/>
                <w:sz w:val="21"/>
                <w:szCs w:val="21"/>
              </w:rPr>
              <w:t>486878.13</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62.07</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17.60</w:t>
            </w:r>
          </w:p>
        </w:tc>
        <w:tc>
          <w:tcPr>
            <w:tcW w:w="451" w:type="pct"/>
            <w:vAlign w:val="center"/>
          </w:tcPr>
          <w:p>
            <w:pPr>
              <w:widowControl/>
              <w:adjustRightInd w:val="0"/>
              <w:snapToGrid w:val="0"/>
              <w:jc w:val="center"/>
              <w:rPr>
                <w:rFonts w:eastAsia="Times New Roman"/>
                <w:sz w:val="21"/>
                <w:szCs w:val="21"/>
              </w:rPr>
            </w:pPr>
            <w:r>
              <w:rPr>
                <w:rFonts w:eastAsia="Times New Roman"/>
                <w:sz w:val="21"/>
                <w:szCs w:val="21"/>
              </w:rPr>
              <w:t>2.00</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60.07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1" w:type="pct"/>
            <w:vAlign w:val="center"/>
          </w:tcPr>
          <w:p>
            <w:pPr>
              <w:widowControl/>
              <w:adjustRightInd w:val="0"/>
              <w:snapToGrid w:val="0"/>
              <w:jc w:val="center"/>
              <w:rPr>
                <w:rFonts w:eastAsia="Times New Roman"/>
                <w:sz w:val="21"/>
                <w:szCs w:val="21"/>
              </w:rPr>
            </w:pPr>
            <w:r>
              <w:rPr>
                <w:rFonts w:eastAsia="Times New Roman"/>
                <w:sz w:val="21"/>
                <w:szCs w:val="21"/>
              </w:rPr>
              <w:t>Z25</w:t>
            </w:r>
          </w:p>
        </w:tc>
        <w:tc>
          <w:tcPr>
            <w:tcW w:w="983" w:type="pct"/>
            <w:vAlign w:val="center"/>
          </w:tcPr>
          <w:p>
            <w:pPr>
              <w:widowControl/>
              <w:adjustRightInd w:val="0"/>
              <w:snapToGrid w:val="0"/>
              <w:jc w:val="center"/>
              <w:rPr>
                <w:rFonts w:eastAsia="Times New Roman"/>
                <w:sz w:val="21"/>
                <w:szCs w:val="21"/>
              </w:rPr>
            </w:pPr>
            <w:r>
              <w:rPr>
                <w:rFonts w:hint="eastAsia" w:ascii="宋体" w:hAnsi="宋体" w:eastAsia="Times New Roman" w:cs="宋体"/>
                <w:sz w:val="21"/>
                <w:szCs w:val="21"/>
              </w:rPr>
              <w:t>钻探孔</w:t>
            </w:r>
          </w:p>
        </w:tc>
        <w:tc>
          <w:tcPr>
            <w:tcW w:w="861" w:type="pct"/>
            <w:vAlign w:val="center"/>
          </w:tcPr>
          <w:p>
            <w:pPr>
              <w:widowControl/>
              <w:adjustRightInd w:val="0"/>
              <w:snapToGrid w:val="0"/>
              <w:jc w:val="center"/>
              <w:rPr>
                <w:rFonts w:eastAsia="Times New Roman"/>
                <w:sz w:val="21"/>
                <w:szCs w:val="21"/>
              </w:rPr>
            </w:pPr>
            <w:r>
              <w:rPr>
                <w:rFonts w:eastAsia="Times New Roman"/>
                <w:sz w:val="21"/>
                <w:szCs w:val="21"/>
              </w:rPr>
              <w:t>3234524.81</w:t>
            </w:r>
          </w:p>
        </w:tc>
        <w:tc>
          <w:tcPr>
            <w:tcW w:w="787" w:type="pct"/>
            <w:vAlign w:val="center"/>
          </w:tcPr>
          <w:p>
            <w:pPr>
              <w:widowControl/>
              <w:adjustRightInd w:val="0"/>
              <w:snapToGrid w:val="0"/>
              <w:jc w:val="center"/>
              <w:rPr>
                <w:rFonts w:eastAsia="Times New Roman"/>
                <w:sz w:val="21"/>
                <w:szCs w:val="21"/>
              </w:rPr>
            </w:pPr>
            <w:r>
              <w:rPr>
                <w:rFonts w:eastAsia="Times New Roman"/>
                <w:sz w:val="21"/>
                <w:szCs w:val="21"/>
              </w:rPr>
              <w:t>486891.84</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62.07</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17.00</w:t>
            </w:r>
          </w:p>
        </w:tc>
        <w:tc>
          <w:tcPr>
            <w:tcW w:w="451" w:type="pct"/>
            <w:vAlign w:val="center"/>
          </w:tcPr>
          <w:p>
            <w:pPr>
              <w:widowControl/>
              <w:adjustRightInd w:val="0"/>
              <w:snapToGrid w:val="0"/>
              <w:jc w:val="center"/>
              <w:rPr>
                <w:rFonts w:eastAsia="Times New Roman"/>
                <w:sz w:val="21"/>
                <w:szCs w:val="21"/>
              </w:rPr>
            </w:pPr>
            <w:r>
              <w:rPr>
                <w:rFonts w:eastAsia="Times New Roman"/>
                <w:sz w:val="21"/>
                <w:szCs w:val="21"/>
              </w:rPr>
              <w:t>1.80</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60.27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1" w:type="pct"/>
            <w:vAlign w:val="center"/>
          </w:tcPr>
          <w:p>
            <w:pPr>
              <w:widowControl/>
              <w:adjustRightInd w:val="0"/>
              <w:snapToGrid w:val="0"/>
              <w:jc w:val="center"/>
              <w:rPr>
                <w:rFonts w:eastAsia="Times New Roman"/>
                <w:sz w:val="21"/>
                <w:szCs w:val="21"/>
              </w:rPr>
            </w:pPr>
            <w:r>
              <w:rPr>
                <w:rFonts w:eastAsia="Times New Roman"/>
                <w:sz w:val="21"/>
                <w:szCs w:val="21"/>
              </w:rPr>
              <w:t>Z26</w:t>
            </w:r>
          </w:p>
        </w:tc>
        <w:tc>
          <w:tcPr>
            <w:tcW w:w="983" w:type="pct"/>
            <w:vAlign w:val="center"/>
          </w:tcPr>
          <w:p>
            <w:pPr>
              <w:widowControl/>
              <w:adjustRightInd w:val="0"/>
              <w:snapToGrid w:val="0"/>
              <w:jc w:val="center"/>
              <w:rPr>
                <w:rFonts w:eastAsia="Times New Roman"/>
                <w:sz w:val="21"/>
                <w:szCs w:val="21"/>
              </w:rPr>
            </w:pPr>
            <w:r>
              <w:rPr>
                <w:rFonts w:hint="eastAsia" w:ascii="宋体" w:hAnsi="宋体" w:eastAsia="Times New Roman" w:cs="宋体"/>
                <w:sz w:val="21"/>
                <w:szCs w:val="21"/>
              </w:rPr>
              <w:t>标贯</w:t>
            </w:r>
            <w:r>
              <w:rPr>
                <w:rFonts w:eastAsia="Times New Roman"/>
                <w:sz w:val="21"/>
                <w:szCs w:val="21"/>
              </w:rPr>
              <w:t>+</w:t>
            </w:r>
            <w:r>
              <w:rPr>
                <w:rFonts w:hint="eastAsia" w:ascii="宋体" w:hAnsi="宋体" w:eastAsia="Times New Roman" w:cs="宋体"/>
                <w:sz w:val="21"/>
                <w:szCs w:val="21"/>
              </w:rPr>
              <w:t>取土孔</w:t>
            </w:r>
          </w:p>
        </w:tc>
        <w:tc>
          <w:tcPr>
            <w:tcW w:w="861" w:type="pct"/>
            <w:vAlign w:val="center"/>
          </w:tcPr>
          <w:p>
            <w:pPr>
              <w:widowControl/>
              <w:adjustRightInd w:val="0"/>
              <w:snapToGrid w:val="0"/>
              <w:jc w:val="center"/>
              <w:rPr>
                <w:rFonts w:eastAsia="Times New Roman"/>
                <w:sz w:val="21"/>
                <w:szCs w:val="21"/>
              </w:rPr>
            </w:pPr>
            <w:r>
              <w:rPr>
                <w:rFonts w:eastAsia="Times New Roman"/>
                <w:sz w:val="21"/>
                <w:szCs w:val="21"/>
              </w:rPr>
              <w:t>3234527.33</w:t>
            </w:r>
          </w:p>
        </w:tc>
        <w:tc>
          <w:tcPr>
            <w:tcW w:w="787" w:type="pct"/>
            <w:vAlign w:val="center"/>
          </w:tcPr>
          <w:p>
            <w:pPr>
              <w:widowControl/>
              <w:adjustRightInd w:val="0"/>
              <w:snapToGrid w:val="0"/>
              <w:jc w:val="center"/>
              <w:rPr>
                <w:rFonts w:eastAsia="Times New Roman"/>
                <w:sz w:val="21"/>
                <w:szCs w:val="21"/>
              </w:rPr>
            </w:pPr>
            <w:r>
              <w:rPr>
                <w:rFonts w:eastAsia="Times New Roman"/>
                <w:sz w:val="21"/>
                <w:szCs w:val="21"/>
              </w:rPr>
              <w:t>486897.71</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61.98</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17.00</w:t>
            </w:r>
          </w:p>
        </w:tc>
        <w:tc>
          <w:tcPr>
            <w:tcW w:w="451" w:type="pct"/>
            <w:vAlign w:val="center"/>
          </w:tcPr>
          <w:p>
            <w:pPr>
              <w:widowControl/>
              <w:adjustRightInd w:val="0"/>
              <w:snapToGrid w:val="0"/>
              <w:jc w:val="center"/>
              <w:rPr>
                <w:rFonts w:eastAsia="Times New Roman"/>
                <w:sz w:val="21"/>
                <w:szCs w:val="21"/>
              </w:rPr>
            </w:pPr>
            <w:r>
              <w:rPr>
                <w:rFonts w:eastAsia="Times New Roman"/>
                <w:sz w:val="21"/>
                <w:szCs w:val="21"/>
              </w:rPr>
              <w:t>1.70</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60.28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1" w:type="pct"/>
            <w:vAlign w:val="center"/>
          </w:tcPr>
          <w:p>
            <w:pPr>
              <w:widowControl/>
              <w:adjustRightInd w:val="0"/>
              <w:snapToGrid w:val="0"/>
              <w:jc w:val="center"/>
              <w:rPr>
                <w:rFonts w:eastAsia="Times New Roman"/>
                <w:sz w:val="21"/>
                <w:szCs w:val="21"/>
              </w:rPr>
            </w:pPr>
            <w:r>
              <w:rPr>
                <w:rFonts w:eastAsia="Times New Roman"/>
                <w:sz w:val="21"/>
                <w:szCs w:val="21"/>
              </w:rPr>
              <w:t>Z27</w:t>
            </w:r>
          </w:p>
        </w:tc>
        <w:tc>
          <w:tcPr>
            <w:tcW w:w="983" w:type="pct"/>
            <w:vAlign w:val="center"/>
          </w:tcPr>
          <w:p>
            <w:pPr>
              <w:widowControl/>
              <w:adjustRightInd w:val="0"/>
              <w:snapToGrid w:val="0"/>
              <w:jc w:val="center"/>
              <w:rPr>
                <w:rFonts w:eastAsia="Times New Roman"/>
                <w:sz w:val="21"/>
                <w:szCs w:val="21"/>
              </w:rPr>
            </w:pPr>
            <w:r>
              <w:rPr>
                <w:rFonts w:hint="eastAsia" w:ascii="宋体" w:hAnsi="宋体" w:eastAsia="Times New Roman" w:cs="宋体"/>
                <w:sz w:val="21"/>
                <w:szCs w:val="21"/>
              </w:rPr>
              <w:t>标贯</w:t>
            </w:r>
            <w:r>
              <w:rPr>
                <w:rFonts w:eastAsia="Times New Roman"/>
                <w:sz w:val="21"/>
                <w:szCs w:val="21"/>
              </w:rPr>
              <w:t>+</w:t>
            </w:r>
            <w:r>
              <w:rPr>
                <w:rFonts w:hint="eastAsia" w:ascii="宋体" w:hAnsi="宋体" w:eastAsia="Times New Roman" w:cs="宋体"/>
                <w:sz w:val="21"/>
                <w:szCs w:val="21"/>
              </w:rPr>
              <w:t>动探孔</w:t>
            </w:r>
          </w:p>
        </w:tc>
        <w:tc>
          <w:tcPr>
            <w:tcW w:w="861" w:type="pct"/>
            <w:vAlign w:val="center"/>
          </w:tcPr>
          <w:p>
            <w:pPr>
              <w:widowControl/>
              <w:adjustRightInd w:val="0"/>
              <w:snapToGrid w:val="0"/>
              <w:jc w:val="center"/>
              <w:rPr>
                <w:rFonts w:eastAsia="Times New Roman"/>
                <w:sz w:val="21"/>
                <w:szCs w:val="21"/>
              </w:rPr>
            </w:pPr>
            <w:r>
              <w:rPr>
                <w:rFonts w:eastAsia="Times New Roman"/>
                <w:sz w:val="21"/>
                <w:szCs w:val="21"/>
              </w:rPr>
              <w:t>3234541.61</w:t>
            </w:r>
          </w:p>
        </w:tc>
        <w:tc>
          <w:tcPr>
            <w:tcW w:w="787" w:type="pct"/>
            <w:vAlign w:val="center"/>
          </w:tcPr>
          <w:p>
            <w:pPr>
              <w:widowControl/>
              <w:adjustRightInd w:val="0"/>
              <w:snapToGrid w:val="0"/>
              <w:jc w:val="center"/>
              <w:rPr>
                <w:rFonts w:eastAsia="Times New Roman"/>
                <w:sz w:val="21"/>
                <w:szCs w:val="21"/>
              </w:rPr>
            </w:pPr>
            <w:r>
              <w:rPr>
                <w:rFonts w:eastAsia="Times New Roman"/>
                <w:sz w:val="21"/>
                <w:szCs w:val="21"/>
              </w:rPr>
              <w:t>486898.18</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62.01</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16.00</w:t>
            </w:r>
          </w:p>
        </w:tc>
        <w:tc>
          <w:tcPr>
            <w:tcW w:w="451" w:type="pct"/>
            <w:vAlign w:val="center"/>
          </w:tcPr>
          <w:p>
            <w:pPr>
              <w:widowControl/>
              <w:adjustRightInd w:val="0"/>
              <w:snapToGrid w:val="0"/>
              <w:jc w:val="center"/>
              <w:rPr>
                <w:rFonts w:eastAsia="Times New Roman"/>
                <w:sz w:val="21"/>
                <w:szCs w:val="21"/>
              </w:rPr>
            </w:pPr>
            <w:r>
              <w:rPr>
                <w:rFonts w:eastAsia="Times New Roman"/>
                <w:sz w:val="21"/>
                <w:szCs w:val="21"/>
              </w:rPr>
              <w:t>2.10</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59.91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1" w:type="pct"/>
            <w:vAlign w:val="center"/>
          </w:tcPr>
          <w:p>
            <w:pPr>
              <w:widowControl/>
              <w:adjustRightInd w:val="0"/>
              <w:snapToGrid w:val="0"/>
              <w:jc w:val="center"/>
              <w:rPr>
                <w:rFonts w:eastAsia="Times New Roman"/>
                <w:sz w:val="21"/>
                <w:szCs w:val="21"/>
              </w:rPr>
            </w:pPr>
            <w:r>
              <w:rPr>
                <w:rFonts w:eastAsia="Times New Roman"/>
                <w:sz w:val="21"/>
                <w:szCs w:val="21"/>
              </w:rPr>
              <w:t>Z28</w:t>
            </w:r>
          </w:p>
        </w:tc>
        <w:tc>
          <w:tcPr>
            <w:tcW w:w="983" w:type="pct"/>
            <w:vAlign w:val="center"/>
          </w:tcPr>
          <w:p>
            <w:pPr>
              <w:widowControl/>
              <w:adjustRightInd w:val="0"/>
              <w:snapToGrid w:val="0"/>
              <w:jc w:val="center"/>
              <w:rPr>
                <w:rFonts w:eastAsia="Times New Roman"/>
                <w:sz w:val="21"/>
                <w:szCs w:val="21"/>
              </w:rPr>
            </w:pPr>
            <w:r>
              <w:rPr>
                <w:rFonts w:hint="eastAsia" w:ascii="宋体" w:hAnsi="宋体" w:eastAsia="Times New Roman" w:cs="宋体"/>
                <w:sz w:val="21"/>
                <w:szCs w:val="21"/>
              </w:rPr>
              <w:t>取土孔</w:t>
            </w:r>
          </w:p>
        </w:tc>
        <w:tc>
          <w:tcPr>
            <w:tcW w:w="861" w:type="pct"/>
            <w:vAlign w:val="center"/>
          </w:tcPr>
          <w:p>
            <w:pPr>
              <w:widowControl/>
              <w:adjustRightInd w:val="0"/>
              <w:snapToGrid w:val="0"/>
              <w:jc w:val="center"/>
              <w:rPr>
                <w:rFonts w:eastAsia="Times New Roman"/>
                <w:sz w:val="21"/>
                <w:szCs w:val="21"/>
              </w:rPr>
            </w:pPr>
            <w:r>
              <w:rPr>
                <w:rFonts w:eastAsia="Times New Roman"/>
                <w:sz w:val="21"/>
                <w:szCs w:val="21"/>
              </w:rPr>
              <w:t>3234559.04</w:t>
            </w:r>
          </w:p>
        </w:tc>
        <w:tc>
          <w:tcPr>
            <w:tcW w:w="787" w:type="pct"/>
            <w:vAlign w:val="center"/>
          </w:tcPr>
          <w:p>
            <w:pPr>
              <w:widowControl/>
              <w:adjustRightInd w:val="0"/>
              <w:snapToGrid w:val="0"/>
              <w:jc w:val="center"/>
              <w:rPr>
                <w:rFonts w:eastAsia="Times New Roman"/>
                <w:sz w:val="21"/>
                <w:szCs w:val="21"/>
              </w:rPr>
            </w:pPr>
            <w:r>
              <w:rPr>
                <w:rFonts w:eastAsia="Times New Roman"/>
                <w:sz w:val="21"/>
                <w:szCs w:val="21"/>
              </w:rPr>
              <w:t>486891.39</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62.30</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16.00</w:t>
            </w:r>
          </w:p>
        </w:tc>
        <w:tc>
          <w:tcPr>
            <w:tcW w:w="451" w:type="pct"/>
            <w:vAlign w:val="center"/>
          </w:tcPr>
          <w:p>
            <w:pPr>
              <w:widowControl/>
              <w:adjustRightInd w:val="0"/>
              <w:snapToGrid w:val="0"/>
              <w:jc w:val="center"/>
              <w:rPr>
                <w:rFonts w:eastAsia="Times New Roman"/>
                <w:sz w:val="21"/>
                <w:szCs w:val="21"/>
              </w:rPr>
            </w:pPr>
            <w:r>
              <w:rPr>
                <w:rFonts w:eastAsia="Times New Roman"/>
                <w:sz w:val="21"/>
                <w:szCs w:val="21"/>
              </w:rPr>
              <w:t>1.80</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60.50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1" w:type="pct"/>
            <w:vAlign w:val="center"/>
          </w:tcPr>
          <w:p>
            <w:pPr>
              <w:widowControl/>
              <w:adjustRightInd w:val="0"/>
              <w:snapToGrid w:val="0"/>
              <w:jc w:val="center"/>
              <w:rPr>
                <w:rFonts w:eastAsia="Times New Roman"/>
                <w:sz w:val="21"/>
                <w:szCs w:val="21"/>
              </w:rPr>
            </w:pPr>
            <w:r>
              <w:rPr>
                <w:rFonts w:eastAsia="Times New Roman"/>
                <w:sz w:val="21"/>
                <w:szCs w:val="21"/>
              </w:rPr>
              <w:t>Z29</w:t>
            </w:r>
          </w:p>
        </w:tc>
        <w:tc>
          <w:tcPr>
            <w:tcW w:w="983" w:type="pct"/>
            <w:vAlign w:val="center"/>
          </w:tcPr>
          <w:p>
            <w:pPr>
              <w:widowControl/>
              <w:adjustRightInd w:val="0"/>
              <w:snapToGrid w:val="0"/>
              <w:jc w:val="center"/>
              <w:rPr>
                <w:rFonts w:eastAsia="Times New Roman"/>
                <w:sz w:val="21"/>
                <w:szCs w:val="21"/>
              </w:rPr>
            </w:pPr>
            <w:r>
              <w:rPr>
                <w:rFonts w:hint="eastAsia" w:ascii="宋体" w:hAnsi="宋体" w:eastAsia="Times New Roman" w:cs="宋体"/>
                <w:sz w:val="21"/>
                <w:szCs w:val="21"/>
              </w:rPr>
              <w:t>动探孔</w:t>
            </w:r>
          </w:p>
        </w:tc>
        <w:tc>
          <w:tcPr>
            <w:tcW w:w="861" w:type="pct"/>
            <w:vAlign w:val="center"/>
          </w:tcPr>
          <w:p>
            <w:pPr>
              <w:widowControl/>
              <w:adjustRightInd w:val="0"/>
              <w:snapToGrid w:val="0"/>
              <w:jc w:val="center"/>
              <w:rPr>
                <w:rFonts w:eastAsia="Times New Roman"/>
                <w:sz w:val="21"/>
                <w:szCs w:val="21"/>
              </w:rPr>
            </w:pPr>
            <w:r>
              <w:rPr>
                <w:rFonts w:eastAsia="Times New Roman"/>
                <w:sz w:val="21"/>
                <w:szCs w:val="21"/>
              </w:rPr>
              <w:t>3234590.95</w:t>
            </w:r>
          </w:p>
        </w:tc>
        <w:tc>
          <w:tcPr>
            <w:tcW w:w="787" w:type="pct"/>
            <w:vAlign w:val="center"/>
          </w:tcPr>
          <w:p>
            <w:pPr>
              <w:widowControl/>
              <w:adjustRightInd w:val="0"/>
              <w:snapToGrid w:val="0"/>
              <w:jc w:val="center"/>
              <w:rPr>
                <w:rFonts w:eastAsia="Times New Roman"/>
                <w:sz w:val="21"/>
                <w:szCs w:val="21"/>
              </w:rPr>
            </w:pPr>
            <w:r>
              <w:rPr>
                <w:rFonts w:eastAsia="Times New Roman"/>
                <w:sz w:val="21"/>
                <w:szCs w:val="21"/>
              </w:rPr>
              <w:t>486877.57</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61.97</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15.60</w:t>
            </w:r>
          </w:p>
        </w:tc>
        <w:tc>
          <w:tcPr>
            <w:tcW w:w="451" w:type="pct"/>
            <w:vAlign w:val="center"/>
          </w:tcPr>
          <w:p>
            <w:pPr>
              <w:widowControl/>
              <w:adjustRightInd w:val="0"/>
              <w:snapToGrid w:val="0"/>
              <w:jc w:val="center"/>
              <w:rPr>
                <w:rFonts w:eastAsia="Times New Roman"/>
                <w:sz w:val="21"/>
                <w:szCs w:val="21"/>
              </w:rPr>
            </w:pPr>
            <w:r>
              <w:rPr>
                <w:rFonts w:eastAsia="Times New Roman"/>
                <w:sz w:val="21"/>
                <w:szCs w:val="21"/>
              </w:rPr>
              <w:t>1.60</w:t>
            </w:r>
          </w:p>
        </w:tc>
        <w:tc>
          <w:tcPr>
            <w:tcW w:w="489" w:type="pct"/>
            <w:vAlign w:val="center"/>
          </w:tcPr>
          <w:p>
            <w:pPr>
              <w:widowControl/>
              <w:adjustRightInd w:val="0"/>
              <w:snapToGrid w:val="0"/>
              <w:jc w:val="center"/>
              <w:rPr>
                <w:rFonts w:eastAsia="Times New Roman"/>
                <w:sz w:val="21"/>
                <w:szCs w:val="21"/>
              </w:rPr>
            </w:pPr>
            <w:r>
              <w:rPr>
                <w:rFonts w:eastAsia="Times New Roman"/>
                <w:sz w:val="21"/>
                <w:szCs w:val="21"/>
              </w:rPr>
              <w:t>60.37</w:t>
            </w:r>
          </w:p>
        </w:tc>
      </w:tr>
    </w:tbl>
    <w:p>
      <w:pPr>
        <w:spacing w:line="440" w:lineRule="exact"/>
        <w:ind w:firstLine="480" w:firstLineChars="200"/>
        <w:rPr>
          <w:color w:val="auto"/>
          <w:sz w:val="24"/>
          <w:szCs w:val="24"/>
        </w:rPr>
      </w:pPr>
      <w:r>
        <w:rPr>
          <w:rFonts w:hint="eastAsia"/>
          <w:color w:val="auto"/>
          <w:sz w:val="24"/>
          <w:szCs w:val="24"/>
        </w:rPr>
        <w:t>根据区域水文地质资料及周边地形判断，该地块西边</w:t>
      </w:r>
      <w:r>
        <w:rPr>
          <w:color w:val="auto"/>
          <w:sz w:val="24"/>
          <w:szCs w:val="24"/>
        </w:rPr>
        <w:t>10</w:t>
      </w:r>
      <w:r>
        <w:rPr>
          <w:rFonts w:hint="eastAsia"/>
          <w:color w:val="auto"/>
          <w:sz w:val="24"/>
          <w:szCs w:val="24"/>
        </w:rPr>
        <w:t>0米处是白沙溪，理应地下水流向是东往西流。勘测的时间是</w:t>
      </w:r>
      <w:r>
        <w:rPr>
          <w:color w:val="auto"/>
          <w:sz w:val="24"/>
          <w:szCs w:val="24"/>
        </w:rPr>
        <w:t>8</w:t>
      </w:r>
      <w:r>
        <w:rPr>
          <w:rFonts w:hint="eastAsia"/>
          <w:color w:val="auto"/>
          <w:sz w:val="24"/>
          <w:szCs w:val="24"/>
        </w:rPr>
        <w:t>月中旬，处于汛期，水位上涨，部分地块出现逆灌的可能。根据2023年8月地勘报告地下水点位深度可知，勘察期间地块地下水主要流向为由东向西，地下水流向见下</w:t>
      </w:r>
      <w:r>
        <w:rPr>
          <w:color w:val="auto"/>
          <w:sz w:val="24"/>
          <w:szCs w:val="24"/>
        </w:rPr>
        <w:t>图。</w:t>
      </w:r>
    </w:p>
    <w:p>
      <w:pPr>
        <w:spacing w:line="360" w:lineRule="auto"/>
        <w:jc w:val="center"/>
        <w:rPr>
          <w:color w:val="auto"/>
          <w:sz w:val="24"/>
          <w:szCs w:val="24"/>
        </w:rPr>
      </w:pPr>
      <w:r>
        <w:rPr>
          <w:color w:val="auto"/>
          <w:sz w:val="24"/>
          <w:szCs w:val="24"/>
        </w:rPr>
        <mc:AlternateContent>
          <mc:Choice Requires="wps">
            <w:drawing>
              <wp:anchor distT="0" distB="0" distL="114300" distR="114300" simplePos="0" relativeHeight="251668480" behindDoc="0" locked="0" layoutInCell="1" allowOverlap="1">
                <wp:simplePos x="0" y="0"/>
                <wp:positionH relativeFrom="column">
                  <wp:posOffset>1555750</wp:posOffset>
                </wp:positionH>
                <wp:positionV relativeFrom="paragraph">
                  <wp:posOffset>2830830</wp:posOffset>
                </wp:positionV>
                <wp:extent cx="1416685" cy="193675"/>
                <wp:effectExtent l="38100" t="57150" r="12065" b="34925"/>
                <wp:wrapNone/>
                <wp:docPr id="14" name="直接箭头连接符 14"/>
                <wp:cNvGraphicFramePr/>
                <a:graphic xmlns:a="http://schemas.openxmlformats.org/drawingml/2006/main">
                  <a:graphicData uri="http://schemas.microsoft.com/office/word/2010/wordprocessingShape">
                    <wps:wsp>
                      <wps:cNvCnPr/>
                      <wps:spPr>
                        <a:xfrm flipH="1" flipV="1">
                          <a:off x="0" y="0"/>
                          <a:ext cx="1416961" cy="193675"/>
                        </a:xfrm>
                        <a:prstGeom prst="straightConnector1">
                          <a:avLst/>
                        </a:prstGeom>
                        <a:ln>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22.5pt;margin-top:222.9pt;height:15.25pt;width:111.55pt;z-index:251668480;mso-width-relative:page;mso-height-relative:page;" filled="f" stroked="t" coordsize="21600,21600" o:gfxdata="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Cx2ZetwA&#10;AAALAQAADwAAAAAAAAABACAAAAAiAAAAZHJzL2Rvd25yZXYueG1sUEsBAhQAFAAAAAgAh07iQLV0&#10;qyEbAgAA/AMAAA4AAAAAAAAAAQAgAAAAKwEAAGRycy9lMm9Eb2MueG1sUEsFBgAAAAAGAAYAWQEA&#10;ALgFAAAAAA==&#10;">
                <v:fill on="f" focussize="0,0"/>
                <v:stroke weight="0.5pt" color="#FFC000 [3204]" miterlimit="8" joinstyle="miter" endarrow="block"/>
                <v:imagedata o:title=""/>
                <o:lock v:ext="edit" aspectratio="f"/>
              </v:shape>
            </w:pict>
          </mc:Fallback>
        </mc:AlternateContent>
      </w:r>
      <w:r>
        <w:rPr>
          <w:color w:val="auto"/>
          <w:sz w:val="24"/>
          <w:szCs w:val="24"/>
        </w:rPr>
        <mc:AlternateContent>
          <mc:Choice Requires="wps">
            <w:drawing>
              <wp:anchor distT="0" distB="0" distL="114300" distR="114300" simplePos="0" relativeHeight="251667456" behindDoc="0" locked="0" layoutInCell="1" allowOverlap="1">
                <wp:simplePos x="0" y="0"/>
                <wp:positionH relativeFrom="column">
                  <wp:posOffset>1762760</wp:posOffset>
                </wp:positionH>
                <wp:positionV relativeFrom="paragraph">
                  <wp:posOffset>2155825</wp:posOffset>
                </wp:positionV>
                <wp:extent cx="1416685" cy="193675"/>
                <wp:effectExtent l="38100" t="57150" r="12065" b="34925"/>
                <wp:wrapNone/>
                <wp:docPr id="13" name="直接箭头连接符 13"/>
                <wp:cNvGraphicFramePr/>
                <a:graphic xmlns:a="http://schemas.openxmlformats.org/drawingml/2006/main">
                  <a:graphicData uri="http://schemas.microsoft.com/office/word/2010/wordprocessingShape">
                    <wps:wsp>
                      <wps:cNvCnPr/>
                      <wps:spPr>
                        <a:xfrm flipH="1" flipV="1">
                          <a:off x="0" y="0"/>
                          <a:ext cx="1416961" cy="193675"/>
                        </a:xfrm>
                        <a:prstGeom prst="straightConnector1">
                          <a:avLst/>
                        </a:prstGeom>
                        <a:ln>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38.8pt;margin-top:169.75pt;height:15.25pt;width:111.55pt;z-index:251667456;mso-width-relative:page;mso-height-relative:page;" filled="f" stroked="t" coordsize="21600,21600" o:gfxdata="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9QEzTdwA&#10;AAALAQAADwAAAAAAAAABACAAAAAiAAAAZHJzL2Rvd25yZXYueG1sUEsBAhQAFAAAAAgAh07iQFgY&#10;3SobAgAA/AMAAA4AAAAAAAAAAQAgAAAAKwEAAGRycy9lMm9Eb2MueG1sUEsFBgAAAAAGAAYAWQEA&#10;ALgFAAAAAA==&#10;">
                <v:fill on="f" focussize="0,0"/>
                <v:stroke weight="0.5pt" color="#FFC000 [3204]" miterlimit="8" joinstyle="miter" endarrow="block"/>
                <v:imagedata o:title=""/>
                <o:lock v:ext="edit" aspectratio="f"/>
              </v:shape>
            </w:pict>
          </mc:Fallback>
        </mc:AlternateContent>
      </w:r>
      <w:r>
        <w:rPr>
          <w:color w:val="auto"/>
          <w:sz w:val="24"/>
          <w:szCs w:val="24"/>
        </w:rPr>
        <w:drawing>
          <wp:anchor distT="0" distB="0" distL="114300" distR="114300" simplePos="0" relativeHeight="251663360" behindDoc="0" locked="0" layoutInCell="1" allowOverlap="1">
            <wp:simplePos x="0" y="0"/>
            <wp:positionH relativeFrom="column">
              <wp:posOffset>1802130</wp:posOffset>
            </wp:positionH>
            <wp:positionV relativeFrom="paragraph">
              <wp:posOffset>1492250</wp:posOffset>
            </wp:positionV>
            <wp:extent cx="2053590" cy="2273935"/>
            <wp:effectExtent l="0" t="0" r="3810" b="12065"/>
            <wp:wrapNone/>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noChangeArrowheads="1"/>
                    </pic:cNvPicPr>
                  </pic:nvPicPr>
                  <pic:blipFill>
                    <a:blip r:embed="rId21"/>
                    <a:srcRect/>
                    <a:stretch>
                      <a:fillRect/>
                    </a:stretch>
                  </pic:blipFill>
                  <pic:spPr>
                    <a:xfrm>
                      <a:off x="0" y="0"/>
                      <a:ext cx="2053287" cy="2273935"/>
                    </a:xfrm>
                    <a:prstGeom prst="rect">
                      <a:avLst/>
                    </a:prstGeom>
                    <a:noFill/>
                    <a:ln>
                      <a:noFill/>
                    </a:ln>
                  </pic:spPr>
                </pic:pic>
              </a:graphicData>
            </a:graphic>
          </wp:anchor>
        </w:drawing>
      </w:r>
      <w:r>
        <w:rPr>
          <w:color w:val="auto"/>
          <w:sz w:val="24"/>
          <w:szCs w:val="24"/>
        </w:rPr>
        <w:drawing>
          <wp:inline distT="0" distB="0" distL="0" distR="0">
            <wp:extent cx="5759450" cy="5049520"/>
            <wp:effectExtent l="0" t="0" r="12700" b="1778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noChangeArrowheads="1"/>
                    </pic:cNvPicPr>
                  </pic:nvPicPr>
                  <pic:blipFill>
                    <a:blip r:embed="rId22"/>
                    <a:srcRect/>
                    <a:stretch>
                      <a:fillRect/>
                    </a:stretch>
                  </pic:blipFill>
                  <pic:spPr>
                    <a:xfrm>
                      <a:off x="0" y="0"/>
                      <a:ext cx="5759450" cy="5049520"/>
                    </a:xfrm>
                    <a:prstGeom prst="rect">
                      <a:avLst/>
                    </a:prstGeom>
                    <a:noFill/>
                    <a:ln>
                      <a:noFill/>
                    </a:ln>
                  </pic:spPr>
                </pic:pic>
              </a:graphicData>
            </a:graphic>
          </wp:inline>
        </w:drawing>
      </w:r>
      <w:r>
        <w:rPr>
          <w:color w:val="auto"/>
          <w:sz w:val="24"/>
          <w:szCs w:val="24"/>
        </w:rPr>
        <w:t xml:space="preserve"> </w:t>
      </w:r>
    </w:p>
    <w:p>
      <w:pPr>
        <w:spacing w:line="360" w:lineRule="auto"/>
        <w:jc w:val="center"/>
        <w:rPr>
          <w:b/>
          <w:sz w:val="24"/>
          <w:szCs w:val="24"/>
        </w:rPr>
      </w:pPr>
      <w:r>
        <w:rPr>
          <w:b/>
          <w:sz w:val="24"/>
          <w:szCs w:val="24"/>
        </w:rPr>
        <w:t>图3.1-4  地下水流向示意图</w:t>
      </w:r>
    </w:p>
    <w:p>
      <w:pPr>
        <w:pStyle w:val="116"/>
        <w:rPr>
          <w:rFonts w:ascii="Times New Roman" w:hAnsi="Times New Roman" w:eastAsia="宋体"/>
          <w:szCs w:val="28"/>
        </w:rPr>
      </w:pPr>
      <w:bookmarkStart w:id="37" w:name="_Toc149641974"/>
      <w:r>
        <w:rPr>
          <w:rFonts w:ascii="Times New Roman" w:hAnsi="Times New Roman" w:eastAsia="宋体"/>
          <w:szCs w:val="28"/>
        </w:rPr>
        <w:t>3.2 敏感目标</w:t>
      </w:r>
      <w:bookmarkEnd w:id="37"/>
    </w:p>
    <w:p>
      <w:pPr>
        <w:spacing w:line="440" w:lineRule="exact"/>
        <w:ind w:firstLine="480" w:firstLineChars="200"/>
        <w:rPr>
          <w:kern w:val="2"/>
          <w:sz w:val="24"/>
          <w:szCs w:val="24"/>
        </w:rPr>
      </w:pPr>
      <w:r>
        <w:rPr>
          <w:kern w:val="2"/>
          <w:sz w:val="24"/>
          <w:szCs w:val="24"/>
        </w:rPr>
        <w:t>敏感目标主要是指场地周围可能受污染物影响的居民区、学校、医院、行政办公区、商业区、饮用水源保护区以及公共场所、地表水体等地点。</w:t>
      </w:r>
    </w:p>
    <w:p>
      <w:pPr>
        <w:pStyle w:val="223"/>
        <w:spacing w:line="440" w:lineRule="exact"/>
        <w:ind w:firstLine="480" w:firstLineChars="200"/>
        <w:rPr>
          <w:sz w:val="24"/>
          <w:szCs w:val="24"/>
        </w:rPr>
      </w:pPr>
      <w:r>
        <w:rPr>
          <w:sz w:val="24"/>
          <w:szCs w:val="24"/>
        </w:rPr>
        <w:t>本地块位于金华市</w:t>
      </w:r>
      <w:r>
        <w:rPr>
          <w:rFonts w:hint="eastAsia"/>
          <w:sz w:val="24"/>
          <w:szCs w:val="24"/>
        </w:rPr>
        <w:t>婺城区</w:t>
      </w:r>
      <w:r>
        <w:rPr>
          <w:sz w:val="24"/>
          <w:szCs w:val="24"/>
        </w:rPr>
        <w:t>东堰街以东、东俞路以南、金江南街以西、横三路以北，周边环境主要敏感目标见表3.2-1。</w:t>
      </w:r>
    </w:p>
    <w:p>
      <w:pPr>
        <w:spacing w:line="460" w:lineRule="exact"/>
        <w:jc w:val="center"/>
        <w:rPr>
          <w:b/>
          <w:sz w:val="24"/>
          <w:szCs w:val="24"/>
        </w:rPr>
      </w:pPr>
      <w:r>
        <w:rPr>
          <w:b/>
          <w:sz w:val="24"/>
          <w:szCs w:val="24"/>
        </w:rPr>
        <w:t>表3.2-1  地块周边主要敏感目标一览表</w:t>
      </w:r>
    </w:p>
    <w:tbl>
      <w:tblPr>
        <w:tblStyle w:val="267"/>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09"/>
        <w:gridCol w:w="3686"/>
        <w:gridCol w:w="1134"/>
        <w:gridCol w:w="3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vAlign w:val="center"/>
          </w:tcPr>
          <w:p>
            <w:pPr>
              <w:adjustRightInd w:val="0"/>
              <w:snapToGrid w:val="0"/>
              <w:jc w:val="center"/>
              <w:rPr>
                <w:rFonts w:eastAsia="Times New Roman"/>
                <w:b/>
                <w:bCs/>
                <w:kern w:val="2"/>
                <w:sz w:val="21"/>
                <w:szCs w:val="21"/>
              </w:rPr>
            </w:pPr>
            <w:r>
              <w:rPr>
                <w:rFonts w:eastAsia="Times New Roman"/>
                <w:b/>
                <w:bCs/>
                <w:sz w:val="21"/>
                <w:szCs w:val="21"/>
              </w:rPr>
              <w:t>序号</w:t>
            </w:r>
          </w:p>
        </w:tc>
        <w:tc>
          <w:tcPr>
            <w:tcW w:w="709" w:type="dxa"/>
            <w:vAlign w:val="center"/>
          </w:tcPr>
          <w:p>
            <w:pPr>
              <w:adjustRightInd w:val="0"/>
              <w:snapToGrid w:val="0"/>
              <w:jc w:val="center"/>
              <w:rPr>
                <w:rFonts w:eastAsia="Times New Roman"/>
                <w:b/>
                <w:bCs/>
                <w:kern w:val="2"/>
                <w:sz w:val="21"/>
                <w:szCs w:val="21"/>
              </w:rPr>
            </w:pPr>
            <w:r>
              <w:rPr>
                <w:rFonts w:hint="eastAsia" w:ascii="宋体" w:hAnsi="宋体" w:eastAsia="Times New Roman" w:cs="宋体"/>
                <w:b/>
                <w:sz w:val="21"/>
                <w:szCs w:val="21"/>
              </w:rPr>
              <w:t>功能</w:t>
            </w:r>
          </w:p>
        </w:tc>
        <w:tc>
          <w:tcPr>
            <w:tcW w:w="3686" w:type="dxa"/>
            <w:vAlign w:val="center"/>
          </w:tcPr>
          <w:p>
            <w:pPr>
              <w:adjustRightInd w:val="0"/>
              <w:snapToGrid w:val="0"/>
              <w:jc w:val="center"/>
              <w:rPr>
                <w:rFonts w:eastAsia="Times New Roman"/>
                <w:b/>
                <w:bCs/>
                <w:kern w:val="2"/>
                <w:sz w:val="21"/>
                <w:szCs w:val="21"/>
              </w:rPr>
            </w:pPr>
            <w:r>
              <w:rPr>
                <w:rFonts w:hint="eastAsia" w:ascii="宋体" w:hAnsi="宋体" w:eastAsia="Times New Roman" w:cs="宋体"/>
                <w:b/>
                <w:bCs/>
                <w:sz w:val="21"/>
                <w:szCs w:val="21"/>
              </w:rPr>
              <w:t>名称</w:t>
            </w:r>
          </w:p>
        </w:tc>
        <w:tc>
          <w:tcPr>
            <w:tcW w:w="1134" w:type="dxa"/>
            <w:vAlign w:val="center"/>
          </w:tcPr>
          <w:p>
            <w:pPr>
              <w:adjustRightInd w:val="0"/>
              <w:snapToGrid w:val="0"/>
              <w:jc w:val="center"/>
              <w:rPr>
                <w:rFonts w:eastAsia="Times New Roman"/>
                <w:b/>
                <w:bCs/>
                <w:kern w:val="2"/>
                <w:sz w:val="21"/>
                <w:szCs w:val="21"/>
              </w:rPr>
            </w:pPr>
            <w:r>
              <w:rPr>
                <w:rFonts w:hint="eastAsia" w:ascii="宋体" w:hAnsi="宋体" w:eastAsia="Times New Roman" w:cs="宋体"/>
                <w:b/>
                <w:sz w:val="21"/>
                <w:szCs w:val="21"/>
              </w:rPr>
              <w:t>相对方位</w:t>
            </w:r>
          </w:p>
        </w:tc>
        <w:tc>
          <w:tcPr>
            <w:tcW w:w="3082" w:type="dxa"/>
            <w:vAlign w:val="center"/>
          </w:tcPr>
          <w:p>
            <w:pPr>
              <w:adjustRightInd w:val="0"/>
              <w:snapToGrid w:val="0"/>
              <w:jc w:val="center"/>
              <w:rPr>
                <w:rFonts w:eastAsia="Times New Roman"/>
                <w:b/>
                <w:bCs/>
                <w:kern w:val="2"/>
                <w:sz w:val="21"/>
                <w:szCs w:val="21"/>
              </w:rPr>
            </w:pPr>
            <w:r>
              <w:rPr>
                <w:rFonts w:hint="eastAsia" w:ascii="宋体" w:hAnsi="宋体" w:eastAsia="Times New Roman" w:cs="宋体"/>
                <w:b/>
                <w:sz w:val="21"/>
                <w:szCs w:val="21"/>
              </w:rPr>
              <w:t>距地块边界最近距离</w:t>
            </w:r>
            <w:r>
              <w:rPr>
                <w:rFonts w:hint="eastAsia" w:ascii="宋体" w:hAnsi="宋体" w:eastAsia="Times New Roman" w:cs="宋体"/>
                <w:b/>
                <w:bCs/>
                <w:sz w:val="21"/>
                <w:szCs w:val="21"/>
              </w:rPr>
              <w:t>(</w:t>
            </w:r>
            <w:r>
              <w:rPr>
                <w:rFonts w:eastAsia="Times New Roman"/>
                <w:b/>
                <w:bCs/>
                <w:sz w:val="21"/>
                <w:szCs w:val="21"/>
              </w:rPr>
              <w:t>m</w:t>
            </w:r>
            <w:r>
              <w:rPr>
                <w:rFonts w:hint="eastAsia" w:ascii="宋体" w:hAnsi="宋体" w:eastAsia="Times New Roman" w:cs="宋体"/>
                <w:b/>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vAlign w:val="center"/>
          </w:tcPr>
          <w:p>
            <w:pPr>
              <w:pStyle w:val="292"/>
              <w:numPr>
                <w:ilvl w:val="0"/>
                <w:numId w:val="5"/>
              </w:numPr>
              <w:adjustRightInd w:val="0"/>
              <w:snapToGrid w:val="0"/>
              <w:ind w:firstLineChars="0"/>
              <w:jc w:val="center"/>
              <w:rPr>
                <w:rFonts w:eastAsia="Times New Roman"/>
                <w:kern w:val="2"/>
                <w:sz w:val="21"/>
                <w:szCs w:val="21"/>
              </w:rPr>
            </w:pPr>
          </w:p>
        </w:tc>
        <w:tc>
          <w:tcPr>
            <w:tcW w:w="709" w:type="dxa"/>
            <w:vMerge w:val="restart"/>
            <w:vAlign w:val="center"/>
          </w:tcPr>
          <w:p>
            <w:pPr>
              <w:adjustRightInd w:val="0"/>
              <w:snapToGrid w:val="0"/>
              <w:jc w:val="center"/>
              <w:rPr>
                <w:rFonts w:eastAsia="Times New Roman"/>
                <w:kern w:val="2"/>
                <w:sz w:val="21"/>
                <w:szCs w:val="21"/>
              </w:rPr>
            </w:pPr>
            <w:r>
              <w:rPr>
                <w:rFonts w:hint="eastAsia" w:ascii="宋体" w:hAnsi="宋体" w:eastAsia="Times New Roman" w:cs="宋体"/>
                <w:sz w:val="21"/>
                <w:szCs w:val="21"/>
              </w:rPr>
              <w:t>居民区</w:t>
            </w:r>
          </w:p>
        </w:tc>
        <w:tc>
          <w:tcPr>
            <w:tcW w:w="3686" w:type="dxa"/>
            <w:vAlign w:val="center"/>
          </w:tcPr>
          <w:p>
            <w:pPr>
              <w:adjustRightInd w:val="0"/>
              <w:snapToGrid w:val="0"/>
              <w:jc w:val="center"/>
              <w:rPr>
                <w:rFonts w:eastAsia="Times New Roman"/>
                <w:sz w:val="21"/>
                <w:szCs w:val="21"/>
              </w:rPr>
            </w:pPr>
            <w:r>
              <w:rPr>
                <w:rFonts w:hint="eastAsia" w:ascii="宋体" w:hAnsi="宋体" w:eastAsia="Times New Roman" w:cs="宋体"/>
                <w:sz w:val="21"/>
                <w:szCs w:val="21"/>
              </w:rPr>
              <w:t>东俞村</w:t>
            </w:r>
          </w:p>
        </w:tc>
        <w:tc>
          <w:tcPr>
            <w:tcW w:w="1134" w:type="dxa"/>
            <w:vAlign w:val="center"/>
          </w:tcPr>
          <w:p>
            <w:pPr>
              <w:adjustRightInd w:val="0"/>
              <w:snapToGrid w:val="0"/>
              <w:jc w:val="center"/>
              <w:rPr>
                <w:rFonts w:eastAsia="Times New Roman"/>
                <w:sz w:val="21"/>
                <w:szCs w:val="21"/>
              </w:rPr>
            </w:pPr>
            <w:r>
              <w:rPr>
                <w:rFonts w:hint="eastAsia" w:ascii="宋体" w:hAnsi="宋体" w:eastAsia="Times New Roman" w:cs="宋体"/>
                <w:sz w:val="21"/>
                <w:szCs w:val="21"/>
              </w:rPr>
              <w:t>东</w:t>
            </w:r>
          </w:p>
        </w:tc>
        <w:tc>
          <w:tcPr>
            <w:tcW w:w="3082" w:type="dxa"/>
            <w:vAlign w:val="center"/>
          </w:tcPr>
          <w:p>
            <w:pPr>
              <w:adjustRightInd w:val="0"/>
              <w:snapToGrid w:val="0"/>
              <w:jc w:val="center"/>
              <w:rPr>
                <w:rFonts w:eastAsia="Times New Roman"/>
                <w:sz w:val="21"/>
                <w:szCs w:val="21"/>
              </w:rPr>
            </w:pPr>
            <w:r>
              <w:rPr>
                <w:rFonts w:hint="eastAsia" w:ascii="宋体" w:hAnsi="宋体" w:eastAsia="Times New Roman" w:cs="宋体"/>
                <w:sz w:val="21"/>
                <w:szCs w:val="21"/>
              </w:rPr>
              <w:t>约</w:t>
            </w:r>
            <w:r>
              <w:rPr>
                <w:rFonts w:eastAsia="Times New Roman"/>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vAlign w:val="center"/>
          </w:tcPr>
          <w:p>
            <w:pPr>
              <w:pStyle w:val="292"/>
              <w:numPr>
                <w:ilvl w:val="0"/>
                <w:numId w:val="5"/>
              </w:numPr>
              <w:adjustRightInd w:val="0"/>
              <w:snapToGrid w:val="0"/>
              <w:ind w:firstLineChars="0"/>
              <w:jc w:val="center"/>
              <w:rPr>
                <w:rFonts w:eastAsia="Times New Roman"/>
                <w:kern w:val="2"/>
                <w:sz w:val="21"/>
                <w:szCs w:val="21"/>
              </w:rPr>
            </w:pPr>
          </w:p>
        </w:tc>
        <w:tc>
          <w:tcPr>
            <w:tcW w:w="709" w:type="dxa"/>
            <w:vMerge w:val="continue"/>
            <w:vAlign w:val="center"/>
          </w:tcPr>
          <w:p>
            <w:pPr>
              <w:widowControl/>
              <w:jc w:val="center"/>
              <w:rPr>
                <w:rFonts w:eastAsia="Times New Roman"/>
                <w:kern w:val="2"/>
                <w:sz w:val="21"/>
                <w:szCs w:val="21"/>
              </w:rPr>
            </w:pPr>
          </w:p>
        </w:tc>
        <w:tc>
          <w:tcPr>
            <w:tcW w:w="3686" w:type="dxa"/>
            <w:vAlign w:val="center"/>
          </w:tcPr>
          <w:p>
            <w:pPr>
              <w:adjustRightInd w:val="0"/>
              <w:snapToGrid w:val="0"/>
              <w:jc w:val="center"/>
              <w:rPr>
                <w:rFonts w:eastAsia="Times New Roman"/>
                <w:kern w:val="2"/>
                <w:sz w:val="21"/>
                <w:szCs w:val="21"/>
              </w:rPr>
            </w:pPr>
            <w:r>
              <w:rPr>
                <w:rFonts w:hint="eastAsia" w:ascii="宋体" w:hAnsi="宋体" w:eastAsia="Times New Roman" w:cs="宋体"/>
                <w:kern w:val="2"/>
                <w:sz w:val="21"/>
                <w:szCs w:val="21"/>
              </w:rPr>
              <w:t>中海央著花园</w:t>
            </w:r>
            <w:r>
              <w:rPr>
                <w:rFonts w:hint="eastAsia" w:eastAsia="Times New Roman"/>
                <w:kern w:val="2"/>
                <w:sz w:val="21"/>
                <w:szCs w:val="21"/>
              </w:rPr>
              <w:t>(</w:t>
            </w:r>
            <w:r>
              <w:rPr>
                <w:rFonts w:hint="eastAsia" w:ascii="宋体" w:hAnsi="宋体" w:eastAsia="Times New Roman" w:cs="宋体"/>
                <w:kern w:val="2"/>
                <w:sz w:val="21"/>
                <w:szCs w:val="21"/>
              </w:rPr>
              <w:t>在建</w:t>
            </w:r>
            <w:r>
              <w:rPr>
                <w:rFonts w:hint="eastAsia" w:eastAsia="Times New Roman"/>
                <w:kern w:val="2"/>
                <w:sz w:val="21"/>
                <w:szCs w:val="21"/>
              </w:rPr>
              <w:t>)</w:t>
            </w:r>
          </w:p>
        </w:tc>
        <w:tc>
          <w:tcPr>
            <w:tcW w:w="1134" w:type="dxa"/>
            <w:vAlign w:val="center"/>
          </w:tcPr>
          <w:p>
            <w:pPr>
              <w:adjustRightInd w:val="0"/>
              <w:snapToGrid w:val="0"/>
              <w:jc w:val="center"/>
              <w:rPr>
                <w:rFonts w:eastAsia="Times New Roman"/>
                <w:sz w:val="21"/>
                <w:szCs w:val="21"/>
              </w:rPr>
            </w:pPr>
            <w:r>
              <w:rPr>
                <w:rFonts w:hint="eastAsia" w:ascii="宋体" w:hAnsi="宋体" w:eastAsia="Times New Roman" w:cs="宋体"/>
                <w:sz w:val="21"/>
                <w:szCs w:val="21"/>
              </w:rPr>
              <w:t>东</w:t>
            </w:r>
          </w:p>
        </w:tc>
        <w:tc>
          <w:tcPr>
            <w:tcW w:w="3082" w:type="dxa"/>
            <w:vAlign w:val="center"/>
          </w:tcPr>
          <w:p>
            <w:pPr>
              <w:adjustRightInd w:val="0"/>
              <w:snapToGrid w:val="0"/>
              <w:jc w:val="center"/>
              <w:rPr>
                <w:rFonts w:eastAsia="Times New Roman"/>
                <w:sz w:val="21"/>
                <w:szCs w:val="21"/>
              </w:rPr>
            </w:pPr>
            <w:r>
              <w:rPr>
                <w:rFonts w:hint="eastAsia" w:ascii="宋体" w:hAnsi="宋体" w:eastAsia="Times New Roman" w:cs="宋体"/>
                <w:sz w:val="21"/>
                <w:szCs w:val="21"/>
              </w:rPr>
              <w:t>约</w:t>
            </w:r>
            <w:r>
              <w:rPr>
                <w:rFonts w:eastAsia="Times New Roman"/>
                <w:sz w:val="21"/>
                <w:szCs w:val="21"/>
              </w:rPr>
              <w:t>670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vAlign w:val="center"/>
          </w:tcPr>
          <w:p>
            <w:pPr>
              <w:pStyle w:val="292"/>
              <w:numPr>
                <w:ilvl w:val="0"/>
                <w:numId w:val="5"/>
              </w:numPr>
              <w:adjustRightInd w:val="0"/>
              <w:snapToGrid w:val="0"/>
              <w:ind w:firstLineChars="0"/>
              <w:jc w:val="center"/>
              <w:rPr>
                <w:rFonts w:eastAsia="Times New Roman"/>
                <w:kern w:val="2"/>
                <w:sz w:val="21"/>
                <w:szCs w:val="21"/>
              </w:rPr>
            </w:pPr>
          </w:p>
        </w:tc>
        <w:tc>
          <w:tcPr>
            <w:tcW w:w="709" w:type="dxa"/>
            <w:vMerge w:val="continue"/>
            <w:vAlign w:val="center"/>
          </w:tcPr>
          <w:p>
            <w:pPr>
              <w:widowControl/>
              <w:jc w:val="center"/>
              <w:rPr>
                <w:rFonts w:eastAsia="Times New Roman"/>
                <w:kern w:val="2"/>
                <w:sz w:val="21"/>
                <w:szCs w:val="21"/>
              </w:rPr>
            </w:pPr>
          </w:p>
        </w:tc>
        <w:tc>
          <w:tcPr>
            <w:tcW w:w="3686" w:type="dxa"/>
            <w:vAlign w:val="center"/>
          </w:tcPr>
          <w:p>
            <w:pPr>
              <w:adjustRightInd w:val="0"/>
              <w:snapToGrid w:val="0"/>
              <w:jc w:val="center"/>
              <w:rPr>
                <w:rFonts w:eastAsia="Times New Roman"/>
                <w:sz w:val="21"/>
                <w:szCs w:val="21"/>
              </w:rPr>
            </w:pPr>
            <w:r>
              <w:rPr>
                <w:rFonts w:hint="eastAsia" w:ascii="宋体" w:hAnsi="宋体" w:eastAsia="Times New Roman" w:cs="宋体"/>
                <w:sz w:val="21"/>
                <w:szCs w:val="21"/>
              </w:rPr>
              <w:t>万科城</w:t>
            </w:r>
            <w:r>
              <w:rPr>
                <w:rFonts w:hint="eastAsia" w:eastAsia="Times New Roman"/>
                <w:sz w:val="21"/>
                <w:szCs w:val="21"/>
              </w:rPr>
              <w:t>(</w:t>
            </w:r>
            <w:r>
              <w:rPr>
                <w:rFonts w:hint="eastAsia" w:ascii="宋体" w:hAnsi="宋体" w:eastAsia="Times New Roman" w:cs="宋体"/>
                <w:sz w:val="21"/>
                <w:szCs w:val="21"/>
              </w:rPr>
              <w:t>在建</w:t>
            </w:r>
            <w:r>
              <w:rPr>
                <w:rFonts w:eastAsia="Times New Roman"/>
                <w:sz w:val="21"/>
                <w:szCs w:val="21"/>
              </w:rPr>
              <w:t>)</w:t>
            </w:r>
          </w:p>
        </w:tc>
        <w:tc>
          <w:tcPr>
            <w:tcW w:w="1134" w:type="dxa"/>
            <w:vAlign w:val="center"/>
          </w:tcPr>
          <w:p>
            <w:pPr>
              <w:adjustRightInd w:val="0"/>
              <w:snapToGrid w:val="0"/>
              <w:jc w:val="center"/>
              <w:rPr>
                <w:rFonts w:eastAsia="Times New Roman"/>
                <w:sz w:val="21"/>
                <w:szCs w:val="21"/>
              </w:rPr>
            </w:pPr>
            <w:r>
              <w:rPr>
                <w:rFonts w:hint="eastAsia" w:ascii="宋体" w:hAnsi="宋体" w:eastAsia="Times New Roman" w:cs="宋体"/>
                <w:sz w:val="21"/>
                <w:szCs w:val="21"/>
              </w:rPr>
              <w:t>南</w:t>
            </w:r>
          </w:p>
        </w:tc>
        <w:tc>
          <w:tcPr>
            <w:tcW w:w="3082" w:type="dxa"/>
            <w:vAlign w:val="center"/>
          </w:tcPr>
          <w:p>
            <w:pPr>
              <w:adjustRightInd w:val="0"/>
              <w:snapToGrid w:val="0"/>
              <w:jc w:val="center"/>
              <w:rPr>
                <w:rFonts w:eastAsia="Times New Roman"/>
                <w:sz w:val="21"/>
                <w:szCs w:val="21"/>
              </w:rPr>
            </w:pPr>
            <w:r>
              <w:rPr>
                <w:rFonts w:hint="eastAsia" w:ascii="宋体" w:hAnsi="宋体" w:eastAsia="Times New Roman" w:cs="宋体"/>
                <w:sz w:val="21"/>
                <w:szCs w:val="21"/>
              </w:rPr>
              <w:t>约</w:t>
            </w:r>
            <w:r>
              <w:rPr>
                <w:rFonts w:eastAsia="Times New Roman"/>
                <w:sz w:val="21"/>
                <w:szCs w:val="21"/>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vAlign w:val="center"/>
          </w:tcPr>
          <w:p>
            <w:pPr>
              <w:pStyle w:val="292"/>
              <w:numPr>
                <w:ilvl w:val="0"/>
                <w:numId w:val="5"/>
              </w:numPr>
              <w:adjustRightInd w:val="0"/>
              <w:snapToGrid w:val="0"/>
              <w:ind w:firstLineChars="0"/>
              <w:jc w:val="center"/>
              <w:rPr>
                <w:rFonts w:eastAsia="Times New Roman"/>
                <w:sz w:val="21"/>
                <w:szCs w:val="21"/>
              </w:rPr>
            </w:pPr>
          </w:p>
        </w:tc>
        <w:tc>
          <w:tcPr>
            <w:tcW w:w="709" w:type="dxa"/>
            <w:vMerge w:val="continue"/>
            <w:vAlign w:val="center"/>
          </w:tcPr>
          <w:p>
            <w:pPr>
              <w:widowControl/>
              <w:jc w:val="center"/>
              <w:rPr>
                <w:rFonts w:eastAsia="Times New Roman"/>
                <w:kern w:val="2"/>
                <w:sz w:val="21"/>
                <w:szCs w:val="21"/>
              </w:rPr>
            </w:pPr>
          </w:p>
        </w:tc>
        <w:tc>
          <w:tcPr>
            <w:tcW w:w="3686" w:type="dxa"/>
            <w:vAlign w:val="center"/>
          </w:tcPr>
          <w:p>
            <w:pPr>
              <w:adjustRightInd w:val="0"/>
              <w:snapToGrid w:val="0"/>
              <w:jc w:val="center"/>
              <w:rPr>
                <w:rFonts w:eastAsia="Times New Roman"/>
                <w:sz w:val="21"/>
                <w:szCs w:val="21"/>
              </w:rPr>
            </w:pPr>
            <w:r>
              <w:rPr>
                <w:rFonts w:hint="eastAsia" w:ascii="宋体" w:hAnsi="宋体" w:eastAsia="Times New Roman" w:cs="宋体"/>
                <w:sz w:val="21"/>
                <w:szCs w:val="21"/>
              </w:rPr>
              <w:t>中南君启</w:t>
            </w:r>
            <w:r>
              <w:rPr>
                <w:rFonts w:hint="eastAsia" w:eastAsia="Times New Roman"/>
                <w:sz w:val="21"/>
                <w:szCs w:val="21"/>
              </w:rPr>
              <w:t>(</w:t>
            </w:r>
            <w:r>
              <w:rPr>
                <w:rFonts w:hint="eastAsia" w:ascii="宋体" w:hAnsi="宋体" w:eastAsia="Times New Roman" w:cs="宋体"/>
                <w:sz w:val="21"/>
                <w:szCs w:val="21"/>
              </w:rPr>
              <w:t>在建</w:t>
            </w:r>
            <w:r>
              <w:rPr>
                <w:rFonts w:hint="eastAsia" w:eastAsia="Times New Roman"/>
                <w:sz w:val="21"/>
                <w:szCs w:val="21"/>
              </w:rPr>
              <w:t>)</w:t>
            </w:r>
          </w:p>
        </w:tc>
        <w:tc>
          <w:tcPr>
            <w:tcW w:w="1134" w:type="dxa"/>
            <w:vAlign w:val="center"/>
          </w:tcPr>
          <w:p>
            <w:pPr>
              <w:adjustRightInd w:val="0"/>
              <w:snapToGrid w:val="0"/>
              <w:jc w:val="center"/>
              <w:rPr>
                <w:rFonts w:eastAsia="Times New Roman"/>
                <w:sz w:val="21"/>
                <w:szCs w:val="21"/>
              </w:rPr>
            </w:pPr>
            <w:r>
              <w:rPr>
                <w:rFonts w:hint="eastAsia" w:ascii="宋体" w:hAnsi="宋体" w:eastAsia="Times New Roman" w:cs="宋体"/>
                <w:sz w:val="21"/>
                <w:szCs w:val="21"/>
              </w:rPr>
              <w:t>南</w:t>
            </w:r>
          </w:p>
        </w:tc>
        <w:tc>
          <w:tcPr>
            <w:tcW w:w="3082" w:type="dxa"/>
            <w:vAlign w:val="center"/>
          </w:tcPr>
          <w:p>
            <w:pPr>
              <w:adjustRightInd w:val="0"/>
              <w:snapToGrid w:val="0"/>
              <w:jc w:val="center"/>
              <w:rPr>
                <w:rFonts w:eastAsia="Times New Roman"/>
                <w:sz w:val="21"/>
                <w:szCs w:val="21"/>
              </w:rPr>
            </w:pPr>
            <w:r>
              <w:rPr>
                <w:rFonts w:hint="eastAsia" w:ascii="宋体" w:hAnsi="宋体" w:eastAsia="Times New Roman" w:cs="宋体"/>
                <w:sz w:val="21"/>
                <w:szCs w:val="21"/>
              </w:rPr>
              <w:t>约</w:t>
            </w:r>
            <w:r>
              <w:rPr>
                <w:rFonts w:eastAsia="Times New Roman"/>
                <w:sz w:val="21"/>
                <w:szCs w:val="21"/>
              </w:rPr>
              <w:t>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vAlign w:val="center"/>
          </w:tcPr>
          <w:p>
            <w:pPr>
              <w:pStyle w:val="292"/>
              <w:numPr>
                <w:ilvl w:val="0"/>
                <w:numId w:val="5"/>
              </w:numPr>
              <w:adjustRightInd w:val="0"/>
              <w:snapToGrid w:val="0"/>
              <w:ind w:firstLineChars="0"/>
              <w:jc w:val="center"/>
              <w:rPr>
                <w:rFonts w:eastAsia="Times New Roman"/>
                <w:kern w:val="2"/>
                <w:sz w:val="21"/>
                <w:szCs w:val="21"/>
              </w:rPr>
            </w:pPr>
          </w:p>
        </w:tc>
        <w:tc>
          <w:tcPr>
            <w:tcW w:w="709" w:type="dxa"/>
            <w:vMerge w:val="continue"/>
            <w:vAlign w:val="center"/>
          </w:tcPr>
          <w:p>
            <w:pPr>
              <w:widowControl/>
              <w:jc w:val="center"/>
              <w:rPr>
                <w:rFonts w:eastAsia="Times New Roman"/>
                <w:kern w:val="2"/>
                <w:sz w:val="21"/>
                <w:szCs w:val="21"/>
              </w:rPr>
            </w:pPr>
          </w:p>
        </w:tc>
        <w:tc>
          <w:tcPr>
            <w:tcW w:w="3686" w:type="dxa"/>
            <w:vAlign w:val="center"/>
          </w:tcPr>
          <w:p>
            <w:pPr>
              <w:adjustRightInd w:val="0"/>
              <w:snapToGrid w:val="0"/>
              <w:jc w:val="center"/>
              <w:rPr>
                <w:rFonts w:eastAsia="Times New Roman"/>
                <w:sz w:val="21"/>
                <w:szCs w:val="21"/>
              </w:rPr>
            </w:pPr>
            <w:r>
              <w:rPr>
                <w:rFonts w:hint="eastAsia" w:ascii="宋体" w:hAnsi="宋体" w:eastAsia="Times New Roman" w:cs="宋体"/>
                <w:sz w:val="21"/>
                <w:szCs w:val="21"/>
              </w:rPr>
              <w:t>万固西江月</w:t>
            </w:r>
          </w:p>
        </w:tc>
        <w:tc>
          <w:tcPr>
            <w:tcW w:w="1134" w:type="dxa"/>
            <w:vAlign w:val="center"/>
          </w:tcPr>
          <w:p>
            <w:pPr>
              <w:adjustRightInd w:val="0"/>
              <w:snapToGrid w:val="0"/>
              <w:jc w:val="center"/>
              <w:rPr>
                <w:rFonts w:eastAsia="Times New Roman"/>
                <w:sz w:val="21"/>
                <w:szCs w:val="21"/>
              </w:rPr>
            </w:pPr>
            <w:r>
              <w:rPr>
                <w:rFonts w:hint="eastAsia" w:ascii="宋体" w:hAnsi="宋体" w:eastAsia="Times New Roman" w:cs="宋体"/>
                <w:sz w:val="21"/>
                <w:szCs w:val="21"/>
              </w:rPr>
              <w:t>西</w:t>
            </w:r>
          </w:p>
        </w:tc>
        <w:tc>
          <w:tcPr>
            <w:tcW w:w="3082" w:type="dxa"/>
            <w:vAlign w:val="center"/>
          </w:tcPr>
          <w:p>
            <w:pPr>
              <w:adjustRightInd w:val="0"/>
              <w:snapToGrid w:val="0"/>
              <w:jc w:val="center"/>
              <w:rPr>
                <w:rFonts w:eastAsia="Times New Roman"/>
                <w:sz w:val="21"/>
                <w:szCs w:val="21"/>
              </w:rPr>
            </w:pPr>
            <w:r>
              <w:rPr>
                <w:rFonts w:hint="eastAsia" w:ascii="宋体" w:hAnsi="宋体" w:eastAsia="Times New Roman" w:cs="宋体"/>
                <w:sz w:val="21"/>
                <w:szCs w:val="21"/>
              </w:rPr>
              <w:t>约</w:t>
            </w:r>
            <w:r>
              <w:rPr>
                <w:rFonts w:eastAsia="Times New Roman"/>
                <w:sz w:val="21"/>
                <w:szCs w:val="21"/>
              </w:rPr>
              <w:t>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vAlign w:val="center"/>
          </w:tcPr>
          <w:p>
            <w:pPr>
              <w:pStyle w:val="292"/>
              <w:numPr>
                <w:ilvl w:val="0"/>
                <w:numId w:val="5"/>
              </w:numPr>
              <w:adjustRightInd w:val="0"/>
              <w:snapToGrid w:val="0"/>
              <w:ind w:firstLineChars="0"/>
              <w:jc w:val="center"/>
              <w:rPr>
                <w:rFonts w:eastAsia="Times New Roman"/>
                <w:kern w:val="2"/>
                <w:sz w:val="21"/>
                <w:szCs w:val="21"/>
              </w:rPr>
            </w:pPr>
          </w:p>
        </w:tc>
        <w:tc>
          <w:tcPr>
            <w:tcW w:w="709" w:type="dxa"/>
            <w:vMerge w:val="restart"/>
            <w:vAlign w:val="center"/>
          </w:tcPr>
          <w:p>
            <w:pPr>
              <w:adjustRightInd w:val="0"/>
              <w:snapToGrid w:val="0"/>
              <w:jc w:val="center"/>
              <w:rPr>
                <w:rFonts w:eastAsia="Times New Roman"/>
                <w:kern w:val="2"/>
                <w:sz w:val="21"/>
                <w:szCs w:val="21"/>
              </w:rPr>
            </w:pPr>
            <w:r>
              <w:rPr>
                <w:rFonts w:hint="eastAsia" w:ascii="宋体" w:hAnsi="宋体" w:eastAsia="Times New Roman" w:cs="宋体"/>
                <w:sz w:val="21"/>
                <w:szCs w:val="21"/>
              </w:rPr>
              <w:t>医疗机构</w:t>
            </w:r>
          </w:p>
        </w:tc>
        <w:tc>
          <w:tcPr>
            <w:tcW w:w="3686" w:type="dxa"/>
            <w:vAlign w:val="center"/>
          </w:tcPr>
          <w:p>
            <w:pPr>
              <w:adjustRightInd w:val="0"/>
              <w:snapToGrid w:val="0"/>
              <w:jc w:val="center"/>
              <w:rPr>
                <w:rFonts w:eastAsia="Times New Roman"/>
                <w:sz w:val="21"/>
                <w:szCs w:val="21"/>
              </w:rPr>
            </w:pPr>
            <w:r>
              <w:rPr>
                <w:rFonts w:hint="eastAsia" w:ascii="宋体" w:hAnsi="宋体" w:eastAsia="Times New Roman" w:cs="宋体"/>
                <w:sz w:val="21"/>
                <w:szCs w:val="21"/>
              </w:rPr>
              <w:t>婺城区妇幼保健院二期</w:t>
            </w:r>
            <w:r>
              <w:rPr>
                <w:rFonts w:hint="eastAsia" w:eastAsia="Times New Roman"/>
                <w:sz w:val="21"/>
                <w:szCs w:val="21"/>
              </w:rPr>
              <w:t>(</w:t>
            </w:r>
            <w:r>
              <w:rPr>
                <w:rFonts w:hint="eastAsia" w:ascii="宋体" w:hAnsi="宋体" w:eastAsia="Times New Roman" w:cs="宋体"/>
                <w:sz w:val="21"/>
                <w:szCs w:val="21"/>
              </w:rPr>
              <w:t>在建</w:t>
            </w:r>
            <w:r>
              <w:rPr>
                <w:rFonts w:hint="eastAsia" w:eastAsia="Times New Roman"/>
                <w:sz w:val="21"/>
                <w:szCs w:val="21"/>
              </w:rPr>
              <w:t>)</w:t>
            </w:r>
          </w:p>
        </w:tc>
        <w:tc>
          <w:tcPr>
            <w:tcW w:w="1134" w:type="dxa"/>
            <w:vAlign w:val="center"/>
          </w:tcPr>
          <w:p>
            <w:pPr>
              <w:adjustRightInd w:val="0"/>
              <w:snapToGrid w:val="0"/>
              <w:jc w:val="center"/>
              <w:rPr>
                <w:rFonts w:eastAsia="Times New Roman"/>
                <w:sz w:val="21"/>
                <w:szCs w:val="21"/>
              </w:rPr>
            </w:pPr>
            <w:r>
              <w:rPr>
                <w:rFonts w:hint="eastAsia" w:ascii="宋体" w:hAnsi="宋体" w:eastAsia="Times New Roman" w:cs="宋体"/>
                <w:sz w:val="21"/>
                <w:szCs w:val="21"/>
              </w:rPr>
              <w:t>东南</w:t>
            </w:r>
          </w:p>
        </w:tc>
        <w:tc>
          <w:tcPr>
            <w:tcW w:w="3082" w:type="dxa"/>
            <w:vAlign w:val="center"/>
          </w:tcPr>
          <w:p>
            <w:pPr>
              <w:adjustRightInd w:val="0"/>
              <w:snapToGrid w:val="0"/>
              <w:jc w:val="center"/>
              <w:rPr>
                <w:rFonts w:eastAsia="Times New Roman"/>
                <w:sz w:val="21"/>
                <w:szCs w:val="21"/>
              </w:rPr>
            </w:pPr>
            <w:r>
              <w:rPr>
                <w:rFonts w:hint="eastAsia" w:ascii="宋体" w:hAnsi="宋体" w:eastAsia="Times New Roman" w:cs="宋体"/>
                <w:sz w:val="21"/>
                <w:szCs w:val="21"/>
              </w:rPr>
              <w:t>约</w:t>
            </w:r>
            <w:r>
              <w:rPr>
                <w:rFonts w:eastAsia="Times New Roman"/>
                <w:sz w:val="21"/>
                <w:szCs w:val="21"/>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vAlign w:val="center"/>
          </w:tcPr>
          <w:p>
            <w:pPr>
              <w:pStyle w:val="292"/>
              <w:numPr>
                <w:ilvl w:val="0"/>
                <w:numId w:val="5"/>
              </w:numPr>
              <w:adjustRightInd w:val="0"/>
              <w:snapToGrid w:val="0"/>
              <w:ind w:firstLineChars="0"/>
              <w:jc w:val="center"/>
              <w:rPr>
                <w:rFonts w:eastAsia="Times New Roman"/>
                <w:kern w:val="2"/>
                <w:sz w:val="21"/>
                <w:szCs w:val="21"/>
              </w:rPr>
            </w:pPr>
          </w:p>
        </w:tc>
        <w:tc>
          <w:tcPr>
            <w:tcW w:w="709" w:type="dxa"/>
            <w:vMerge w:val="continue"/>
            <w:vAlign w:val="center"/>
          </w:tcPr>
          <w:p>
            <w:pPr>
              <w:adjustRightInd w:val="0"/>
              <w:snapToGrid w:val="0"/>
              <w:jc w:val="center"/>
              <w:rPr>
                <w:rFonts w:eastAsia="Times New Roman"/>
                <w:sz w:val="21"/>
                <w:szCs w:val="21"/>
              </w:rPr>
            </w:pPr>
          </w:p>
        </w:tc>
        <w:tc>
          <w:tcPr>
            <w:tcW w:w="3686" w:type="dxa"/>
            <w:vAlign w:val="center"/>
          </w:tcPr>
          <w:p>
            <w:pPr>
              <w:adjustRightInd w:val="0"/>
              <w:snapToGrid w:val="0"/>
              <w:jc w:val="center"/>
              <w:rPr>
                <w:rFonts w:eastAsia="Times New Roman"/>
                <w:sz w:val="21"/>
                <w:szCs w:val="21"/>
              </w:rPr>
            </w:pPr>
            <w:r>
              <w:rPr>
                <w:rFonts w:hint="eastAsia" w:ascii="宋体" w:hAnsi="宋体" w:eastAsia="Times New Roman" w:cs="宋体"/>
                <w:sz w:val="21"/>
                <w:szCs w:val="21"/>
              </w:rPr>
              <w:t>金华钭氏伤科医院</w:t>
            </w:r>
          </w:p>
        </w:tc>
        <w:tc>
          <w:tcPr>
            <w:tcW w:w="1134" w:type="dxa"/>
            <w:vAlign w:val="center"/>
          </w:tcPr>
          <w:p>
            <w:pPr>
              <w:adjustRightInd w:val="0"/>
              <w:snapToGrid w:val="0"/>
              <w:jc w:val="center"/>
              <w:rPr>
                <w:rFonts w:eastAsia="Times New Roman"/>
                <w:sz w:val="21"/>
                <w:szCs w:val="21"/>
              </w:rPr>
            </w:pPr>
            <w:r>
              <w:rPr>
                <w:rFonts w:hint="eastAsia" w:ascii="宋体" w:hAnsi="宋体" w:eastAsia="Times New Roman" w:cs="宋体"/>
                <w:sz w:val="21"/>
                <w:szCs w:val="21"/>
              </w:rPr>
              <w:t>东南</w:t>
            </w:r>
          </w:p>
        </w:tc>
        <w:tc>
          <w:tcPr>
            <w:tcW w:w="3082" w:type="dxa"/>
            <w:vAlign w:val="center"/>
          </w:tcPr>
          <w:p>
            <w:pPr>
              <w:adjustRightInd w:val="0"/>
              <w:snapToGrid w:val="0"/>
              <w:jc w:val="center"/>
              <w:rPr>
                <w:rFonts w:eastAsia="Times New Roman"/>
                <w:sz w:val="21"/>
                <w:szCs w:val="21"/>
              </w:rPr>
            </w:pPr>
            <w:r>
              <w:rPr>
                <w:rFonts w:hint="eastAsia" w:ascii="宋体" w:hAnsi="宋体" w:eastAsia="Times New Roman" w:cs="宋体"/>
                <w:sz w:val="21"/>
                <w:szCs w:val="21"/>
              </w:rPr>
              <w:t>约</w:t>
            </w:r>
            <w:r>
              <w:rPr>
                <w:rFonts w:eastAsia="Times New Roman"/>
                <w:sz w:val="21"/>
                <w:szCs w:val="21"/>
              </w:rPr>
              <w:t>670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vAlign w:val="center"/>
          </w:tcPr>
          <w:p>
            <w:pPr>
              <w:pStyle w:val="292"/>
              <w:numPr>
                <w:ilvl w:val="0"/>
                <w:numId w:val="5"/>
              </w:numPr>
              <w:adjustRightInd w:val="0"/>
              <w:snapToGrid w:val="0"/>
              <w:ind w:firstLineChars="0"/>
              <w:jc w:val="center"/>
              <w:rPr>
                <w:rFonts w:eastAsia="Times New Roman"/>
                <w:kern w:val="2"/>
                <w:sz w:val="21"/>
                <w:szCs w:val="21"/>
              </w:rPr>
            </w:pPr>
          </w:p>
        </w:tc>
        <w:tc>
          <w:tcPr>
            <w:tcW w:w="709" w:type="dxa"/>
            <w:vMerge w:val="continue"/>
            <w:vAlign w:val="center"/>
          </w:tcPr>
          <w:p>
            <w:pPr>
              <w:adjustRightInd w:val="0"/>
              <w:snapToGrid w:val="0"/>
              <w:jc w:val="center"/>
              <w:rPr>
                <w:rFonts w:eastAsia="Times New Roman"/>
                <w:sz w:val="21"/>
                <w:szCs w:val="21"/>
              </w:rPr>
            </w:pPr>
          </w:p>
        </w:tc>
        <w:tc>
          <w:tcPr>
            <w:tcW w:w="3686" w:type="dxa"/>
            <w:vAlign w:val="center"/>
          </w:tcPr>
          <w:p>
            <w:pPr>
              <w:adjustRightInd w:val="0"/>
              <w:snapToGrid w:val="0"/>
              <w:jc w:val="center"/>
              <w:rPr>
                <w:rFonts w:eastAsia="Times New Roman"/>
                <w:sz w:val="21"/>
                <w:szCs w:val="21"/>
              </w:rPr>
            </w:pPr>
            <w:r>
              <w:rPr>
                <w:rFonts w:hint="eastAsia" w:ascii="宋体" w:hAnsi="宋体" w:eastAsia="Times New Roman" w:cs="宋体"/>
                <w:sz w:val="21"/>
                <w:szCs w:val="21"/>
              </w:rPr>
              <w:t>婺城区妇幼保健院</w:t>
            </w:r>
          </w:p>
        </w:tc>
        <w:tc>
          <w:tcPr>
            <w:tcW w:w="1134" w:type="dxa"/>
            <w:vAlign w:val="center"/>
          </w:tcPr>
          <w:p>
            <w:pPr>
              <w:adjustRightInd w:val="0"/>
              <w:snapToGrid w:val="0"/>
              <w:jc w:val="center"/>
              <w:rPr>
                <w:rFonts w:eastAsia="Times New Roman"/>
                <w:sz w:val="21"/>
                <w:szCs w:val="21"/>
              </w:rPr>
            </w:pPr>
            <w:r>
              <w:rPr>
                <w:rFonts w:hint="eastAsia" w:ascii="宋体" w:hAnsi="宋体" w:eastAsia="Times New Roman" w:cs="宋体"/>
                <w:sz w:val="21"/>
                <w:szCs w:val="21"/>
              </w:rPr>
              <w:t>东南</w:t>
            </w:r>
          </w:p>
        </w:tc>
        <w:tc>
          <w:tcPr>
            <w:tcW w:w="3082" w:type="dxa"/>
            <w:vAlign w:val="center"/>
          </w:tcPr>
          <w:p>
            <w:pPr>
              <w:adjustRightInd w:val="0"/>
              <w:snapToGrid w:val="0"/>
              <w:jc w:val="center"/>
              <w:rPr>
                <w:rFonts w:eastAsia="Times New Roman"/>
                <w:sz w:val="21"/>
                <w:szCs w:val="21"/>
              </w:rPr>
            </w:pPr>
            <w:r>
              <w:rPr>
                <w:rFonts w:hint="eastAsia" w:ascii="宋体" w:hAnsi="宋体" w:eastAsia="Times New Roman" w:cs="宋体"/>
                <w:sz w:val="21"/>
                <w:szCs w:val="21"/>
              </w:rPr>
              <w:t>约</w:t>
            </w:r>
            <w:r>
              <w:rPr>
                <w:rFonts w:eastAsia="Times New Roman"/>
                <w:sz w:val="21"/>
                <w:szCs w:val="21"/>
              </w:rPr>
              <w:t>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vAlign w:val="center"/>
          </w:tcPr>
          <w:p>
            <w:pPr>
              <w:pStyle w:val="292"/>
              <w:numPr>
                <w:ilvl w:val="0"/>
                <w:numId w:val="5"/>
              </w:numPr>
              <w:adjustRightInd w:val="0"/>
              <w:snapToGrid w:val="0"/>
              <w:ind w:firstLineChars="0"/>
              <w:jc w:val="center"/>
              <w:rPr>
                <w:rFonts w:eastAsia="Times New Roman"/>
                <w:kern w:val="2"/>
                <w:sz w:val="21"/>
                <w:szCs w:val="21"/>
              </w:rPr>
            </w:pPr>
          </w:p>
        </w:tc>
        <w:tc>
          <w:tcPr>
            <w:tcW w:w="709" w:type="dxa"/>
            <w:vMerge w:val="continue"/>
            <w:vAlign w:val="center"/>
          </w:tcPr>
          <w:p>
            <w:pPr>
              <w:adjustRightInd w:val="0"/>
              <w:snapToGrid w:val="0"/>
              <w:jc w:val="center"/>
              <w:rPr>
                <w:rFonts w:eastAsia="Times New Roman"/>
                <w:sz w:val="21"/>
                <w:szCs w:val="21"/>
              </w:rPr>
            </w:pPr>
          </w:p>
        </w:tc>
        <w:tc>
          <w:tcPr>
            <w:tcW w:w="3686" w:type="dxa"/>
            <w:vAlign w:val="center"/>
          </w:tcPr>
          <w:p>
            <w:pPr>
              <w:adjustRightInd w:val="0"/>
              <w:snapToGrid w:val="0"/>
              <w:jc w:val="center"/>
              <w:rPr>
                <w:rFonts w:eastAsia="Times New Roman"/>
                <w:sz w:val="21"/>
                <w:szCs w:val="21"/>
              </w:rPr>
            </w:pPr>
            <w:r>
              <w:rPr>
                <w:rFonts w:hint="eastAsia" w:ascii="宋体" w:hAnsi="宋体" w:eastAsia="Times New Roman" w:cs="宋体"/>
                <w:sz w:val="21"/>
                <w:szCs w:val="21"/>
              </w:rPr>
              <w:t>金华市中医医院婺城康复中心</w:t>
            </w:r>
          </w:p>
        </w:tc>
        <w:tc>
          <w:tcPr>
            <w:tcW w:w="1134" w:type="dxa"/>
            <w:vAlign w:val="center"/>
          </w:tcPr>
          <w:p>
            <w:pPr>
              <w:adjustRightInd w:val="0"/>
              <w:snapToGrid w:val="0"/>
              <w:jc w:val="center"/>
              <w:rPr>
                <w:rFonts w:eastAsia="Times New Roman"/>
                <w:sz w:val="21"/>
                <w:szCs w:val="21"/>
              </w:rPr>
            </w:pPr>
            <w:r>
              <w:rPr>
                <w:rFonts w:hint="eastAsia" w:ascii="宋体" w:hAnsi="宋体" w:eastAsia="Times New Roman" w:cs="宋体"/>
                <w:sz w:val="21"/>
                <w:szCs w:val="21"/>
              </w:rPr>
              <w:t>东南</w:t>
            </w:r>
          </w:p>
        </w:tc>
        <w:tc>
          <w:tcPr>
            <w:tcW w:w="3082" w:type="dxa"/>
            <w:vAlign w:val="center"/>
          </w:tcPr>
          <w:p>
            <w:pPr>
              <w:adjustRightInd w:val="0"/>
              <w:snapToGrid w:val="0"/>
              <w:jc w:val="center"/>
              <w:rPr>
                <w:rFonts w:eastAsia="Times New Roman"/>
                <w:sz w:val="21"/>
                <w:szCs w:val="21"/>
              </w:rPr>
            </w:pPr>
            <w:r>
              <w:rPr>
                <w:rFonts w:hint="eastAsia" w:ascii="宋体" w:hAnsi="宋体" w:eastAsia="Times New Roman" w:cs="宋体"/>
                <w:sz w:val="21"/>
                <w:szCs w:val="21"/>
              </w:rPr>
              <w:t>约</w:t>
            </w:r>
            <w:r>
              <w:rPr>
                <w:rFonts w:eastAsia="Times New Roman"/>
                <w:sz w:val="21"/>
                <w:szCs w:val="21"/>
              </w:rPr>
              <w:t>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vAlign w:val="center"/>
          </w:tcPr>
          <w:p>
            <w:pPr>
              <w:pStyle w:val="292"/>
              <w:numPr>
                <w:ilvl w:val="0"/>
                <w:numId w:val="5"/>
              </w:numPr>
              <w:adjustRightInd w:val="0"/>
              <w:snapToGrid w:val="0"/>
              <w:ind w:firstLineChars="0"/>
              <w:jc w:val="center"/>
              <w:rPr>
                <w:rFonts w:eastAsia="Times New Roman"/>
                <w:kern w:val="2"/>
                <w:sz w:val="21"/>
                <w:szCs w:val="21"/>
              </w:rPr>
            </w:pPr>
          </w:p>
        </w:tc>
        <w:tc>
          <w:tcPr>
            <w:tcW w:w="709" w:type="dxa"/>
            <w:vMerge w:val="restart"/>
            <w:vAlign w:val="center"/>
          </w:tcPr>
          <w:p>
            <w:pPr>
              <w:adjustRightInd w:val="0"/>
              <w:snapToGrid w:val="0"/>
              <w:jc w:val="center"/>
              <w:rPr>
                <w:rFonts w:eastAsia="Times New Roman"/>
                <w:sz w:val="21"/>
                <w:szCs w:val="21"/>
              </w:rPr>
            </w:pPr>
            <w:r>
              <w:rPr>
                <w:rFonts w:hint="eastAsia" w:ascii="宋体" w:hAnsi="宋体" w:eastAsia="Times New Roman" w:cs="宋体"/>
                <w:sz w:val="21"/>
                <w:szCs w:val="21"/>
              </w:rPr>
              <w:t>行政机构</w:t>
            </w:r>
          </w:p>
        </w:tc>
        <w:tc>
          <w:tcPr>
            <w:tcW w:w="3686" w:type="dxa"/>
            <w:vAlign w:val="center"/>
          </w:tcPr>
          <w:p>
            <w:pPr>
              <w:adjustRightInd w:val="0"/>
              <w:snapToGrid w:val="0"/>
              <w:jc w:val="center"/>
              <w:rPr>
                <w:rFonts w:eastAsia="Times New Roman"/>
                <w:sz w:val="21"/>
                <w:szCs w:val="21"/>
              </w:rPr>
            </w:pPr>
            <w:r>
              <w:rPr>
                <w:rFonts w:hint="eastAsia" w:ascii="宋体" w:hAnsi="宋体" w:eastAsia="Times New Roman" w:cs="宋体"/>
                <w:kern w:val="2"/>
                <w:sz w:val="21"/>
                <w:szCs w:val="21"/>
              </w:rPr>
              <w:t>婺城区消防救援大队</w:t>
            </w:r>
          </w:p>
        </w:tc>
        <w:tc>
          <w:tcPr>
            <w:tcW w:w="1134" w:type="dxa"/>
            <w:vAlign w:val="center"/>
          </w:tcPr>
          <w:p>
            <w:pPr>
              <w:adjustRightInd w:val="0"/>
              <w:snapToGrid w:val="0"/>
              <w:jc w:val="center"/>
              <w:rPr>
                <w:rFonts w:eastAsia="Times New Roman"/>
                <w:sz w:val="21"/>
                <w:szCs w:val="21"/>
              </w:rPr>
            </w:pPr>
            <w:r>
              <w:rPr>
                <w:rFonts w:hint="eastAsia" w:ascii="宋体" w:hAnsi="宋体" w:eastAsia="Times New Roman" w:cs="宋体"/>
                <w:sz w:val="21"/>
                <w:szCs w:val="21"/>
              </w:rPr>
              <w:t>东南</w:t>
            </w:r>
          </w:p>
        </w:tc>
        <w:tc>
          <w:tcPr>
            <w:tcW w:w="3082" w:type="dxa"/>
            <w:vAlign w:val="center"/>
          </w:tcPr>
          <w:p>
            <w:pPr>
              <w:adjustRightInd w:val="0"/>
              <w:snapToGrid w:val="0"/>
              <w:jc w:val="center"/>
              <w:rPr>
                <w:rFonts w:eastAsia="Times New Roman"/>
                <w:sz w:val="21"/>
                <w:szCs w:val="21"/>
              </w:rPr>
            </w:pPr>
            <w:r>
              <w:rPr>
                <w:rFonts w:hint="eastAsia" w:ascii="宋体" w:hAnsi="宋体" w:eastAsia="Times New Roman" w:cs="宋体"/>
                <w:sz w:val="21"/>
                <w:szCs w:val="21"/>
              </w:rPr>
              <w:t>约</w:t>
            </w:r>
            <w:r>
              <w:rPr>
                <w:rFonts w:eastAsia="Times New Roman"/>
                <w:sz w:val="21"/>
                <w:szCs w:val="21"/>
              </w:rPr>
              <w:t>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vAlign w:val="center"/>
          </w:tcPr>
          <w:p>
            <w:pPr>
              <w:pStyle w:val="292"/>
              <w:numPr>
                <w:ilvl w:val="0"/>
                <w:numId w:val="5"/>
              </w:numPr>
              <w:adjustRightInd w:val="0"/>
              <w:snapToGrid w:val="0"/>
              <w:ind w:firstLineChars="0"/>
              <w:jc w:val="center"/>
              <w:rPr>
                <w:rFonts w:eastAsia="Times New Roman"/>
                <w:kern w:val="2"/>
                <w:sz w:val="21"/>
                <w:szCs w:val="21"/>
              </w:rPr>
            </w:pPr>
          </w:p>
        </w:tc>
        <w:tc>
          <w:tcPr>
            <w:tcW w:w="709" w:type="dxa"/>
            <w:vMerge w:val="continue"/>
            <w:vAlign w:val="center"/>
          </w:tcPr>
          <w:p>
            <w:pPr>
              <w:adjustRightInd w:val="0"/>
              <w:snapToGrid w:val="0"/>
              <w:jc w:val="center"/>
              <w:rPr>
                <w:rFonts w:eastAsia="Times New Roman"/>
                <w:sz w:val="21"/>
                <w:szCs w:val="21"/>
              </w:rPr>
            </w:pPr>
          </w:p>
        </w:tc>
        <w:tc>
          <w:tcPr>
            <w:tcW w:w="3686" w:type="dxa"/>
            <w:vAlign w:val="center"/>
          </w:tcPr>
          <w:p>
            <w:pPr>
              <w:adjustRightInd w:val="0"/>
              <w:snapToGrid w:val="0"/>
              <w:jc w:val="center"/>
              <w:rPr>
                <w:rFonts w:eastAsia="Times New Roman"/>
                <w:sz w:val="21"/>
                <w:szCs w:val="21"/>
              </w:rPr>
            </w:pPr>
            <w:r>
              <w:rPr>
                <w:rFonts w:hint="eastAsia" w:ascii="宋体" w:hAnsi="宋体" w:eastAsia="Times New Roman" w:cs="宋体"/>
                <w:sz w:val="21"/>
                <w:szCs w:val="21"/>
              </w:rPr>
              <w:t>婺城区人民法院白龙桥人民法庭</w:t>
            </w:r>
          </w:p>
        </w:tc>
        <w:tc>
          <w:tcPr>
            <w:tcW w:w="1134" w:type="dxa"/>
            <w:vAlign w:val="center"/>
          </w:tcPr>
          <w:p>
            <w:pPr>
              <w:adjustRightInd w:val="0"/>
              <w:snapToGrid w:val="0"/>
              <w:jc w:val="center"/>
              <w:rPr>
                <w:rFonts w:eastAsia="Times New Roman"/>
                <w:sz w:val="21"/>
                <w:szCs w:val="21"/>
              </w:rPr>
            </w:pPr>
            <w:r>
              <w:rPr>
                <w:rFonts w:hint="eastAsia" w:ascii="宋体" w:hAnsi="宋体" w:eastAsia="Times New Roman" w:cs="宋体"/>
                <w:sz w:val="21"/>
                <w:szCs w:val="21"/>
              </w:rPr>
              <w:t>东南</w:t>
            </w:r>
          </w:p>
        </w:tc>
        <w:tc>
          <w:tcPr>
            <w:tcW w:w="3082" w:type="dxa"/>
            <w:vAlign w:val="center"/>
          </w:tcPr>
          <w:p>
            <w:pPr>
              <w:adjustRightInd w:val="0"/>
              <w:snapToGrid w:val="0"/>
              <w:jc w:val="center"/>
              <w:rPr>
                <w:rFonts w:eastAsia="Times New Roman"/>
                <w:sz w:val="21"/>
                <w:szCs w:val="21"/>
              </w:rPr>
            </w:pPr>
            <w:r>
              <w:rPr>
                <w:rFonts w:hint="eastAsia" w:ascii="宋体" w:hAnsi="宋体" w:eastAsia="Times New Roman" w:cs="宋体"/>
                <w:sz w:val="21"/>
                <w:szCs w:val="21"/>
              </w:rPr>
              <w:t>约</w:t>
            </w:r>
            <w:r>
              <w:rPr>
                <w:rFonts w:eastAsia="Times New Roman"/>
                <w:sz w:val="21"/>
                <w:szCs w:val="21"/>
              </w:rPr>
              <w:t>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vAlign w:val="center"/>
          </w:tcPr>
          <w:p>
            <w:pPr>
              <w:pStyle w:val="292"/>
              <w:numPr>
                <w:ilvl w:val="0"/>
                <w:numId w:val="5"/>
              </w:numPr>
              <w:adjustRightInd w:val="0"/>
              <w:snapToGrid w:val="0"/>
              <w:ind w:firstLineChars="0"/>
              <w:jc w:val="center"/>
              <w:rPr>
                <w:rFonts w:eastAsia="Times New Roman"/>
                <w:kern w:val="2"/>
                <w:sz w:val="21"/>
                <w:szCs w:val="21"/>
              </w:rPr>
            </w:pPr>
          </w:p>
        </w:tc>
        <w:tc>
          <w:tcPr>
            <w:tcW w:w="709" w:type="dxa"/>
            <w:vMerge w:val="continue"/>
            <w:vAlign w:val="center"/>
          </w:tcPr>
          <w:p>
            <w:pPr>
              <w:adjustRightInd w:val="0"/>
              <w:snapToGrid w:val="0"/>
              <w:jc w:val="center"/>
              <w:rPr>
                <w:rFonts w:eastAsia="Times New Roman"/>
                <w:sz w:val="21"/>
                <w:szCs w:val="21"/>
              </w:rPr>
            </w:pPr>
          </w:p>
        </w:tc>
        <w:tc>
          <w:tcPr>
            <w:tcW w:w="3686" w:type="dxa"/>
            <w:vAlign w:val="center"/>
          </w:tcPr>
          <w:p>
            <w:pPr>
              <w:adjustRightInd w:val="0"/>
              <w:snapToGrid w:val="0"/>
              <w:jc w:val="center"/>
              <w:rPr>
                <w:rFonts w:eastAsia="Times New Roman"/>
                <w:sz w:val="21"/>
                <w:szCs w:val="21"/>
              </w:rPr>
            </w:pPr>
            <w:r>
              <w:rPr>
                <w:rFonts w:hint="eastAsia" w:ascii="宋体" w:hAnsi="宋体" w:eastAsia="Times New Roman" w:cs="宋体"/>
                <w:sz w:val="21"/>
                <w:szCs w:val="21"/>
              </w:rPr>
              <w:t>金华市婺城区疾病预防控制中心</w:t>
            </w:r>
          </w:p>
        </w:tc>
        <w:tc>
          <w:tcPr>
            <w:tcW w:w="1134" w:type="dxa"/>
            <w:vAlign w:val="center"/>
          </w:tcPr>
          <w:p>
            <w:pPr>
              <w:adjustRightInd w:val="0"/>
              <w:snapToGrid w:val="0"/>
              <w:jc w:val="center"/>
              <w:rPr>
                <w:rFonts w:eastAsia="Times New Roman"/>
                <w:sz w:val="21"/>
                <w:szCs w:val="21"/>
              </w:rPr>
            </w:pPr>
            <w:r>
              <w:rPr>
                <w:rFonts w:hint="eastAsia" w:ascii="宋体" w:hAnsi="宋体" w:eastAsia="Times New Roman" w:cs="宋体"/>
                <w:sz w:val="21"/>
                <w:szCs w:val="21"/>
              </w:rPr>
              <w:t>东南</w:t>
            </w:r>
          </w:p>
        </w:tc>
        <w:tc>
          <w:tcPr>
            <w:tcW w:w="3082" w:type="dxa"/>
            <w:vAlign w:val="center"/>
          </w:tcPr>
          <w:p>
            <w:pPr>
              <w:adjustRightInd w:val="0"/>
              <w:snapToGrid w:val="0"/>
              <w:jc w:val="center"/>
              <w:rPr>
                <w:rFonts w:eastAsia="Times New Roman"/>
                <w:sz w:val="21"/>
                <w:szCs w:val="21"/>
              </w:rPr>
            </w:pPr>
            <w:r>
              <w:rPr>
                <w:rFonts w:hint="eastAsia" w:ascii="宋体" w:hAnsi="宋体" w:eastAsia="Times New Roman" w:cs="宋体"/>
                <w:sz w:val="21"/>
                <w:szCs w:val="21"/>
              </w:rPr>
              <w:t>约</w:t>
            </w:r>
            <w:r>
              <w:rPr>
                <w:rFonts w:eastAsia="Times New Roman"/>
                <w:sz w:val="21"/>
                <w:szCs w:val="21"/>
              </w:rPr>
              <w:t>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vAlign w:val="center"/>
          </w:tcPr>
          <w:p>
            <w:pPr>
              <w:pStyle w:val="292"/>
              <w:numPr>
                <w:ilvl w:val="0"/>
                <w:numId w:val="5"/>
              </w:numPr>
              <w:adjustRightInd w:val="0"/>
              <w:snapToGrid w:val="0"/>
              <w:ind w:firstLineChars="0"/>
              <w:jc w:val="center"/>
              <w:rPr>
                <w:rFonts w:eastAsia="Times New Roman"/>
                <w:kern w:val="2"/>
                <w:sz w:val="21"/>
                <w:szCs w:val="21"/>
              </w:rPr>
            </w:pPr>
          </w:p>
        </w:tc>
        <w:tc>
          <w:tcPr>
            <w:tcW w:w="709" w:type="dxa"/>
            <w:vMerge w:val="continue"/>
            <w:vAlign w:val="center"/>
          </w:tcPr>
          <w:p>
            <w:pPr>
              <w:adjustRightInd w:val="0"/>
              <w:snapToGrid w:val="0"/>
              <w:jc w:val="center"/>
              <w:rPr>
                <w:rFonts w:eastAsia="Times New Roman"/>
                <w:sz w:val="21"/>
                <w:szCs w:val="21"/>
              </w:rPr>
            </w:pPr>
          </w:p>
        </w:tc>
        <w:tc>
          <w:tcPr>
            <w:tcW w:w="3686" w:type="dxa"/>
            <w:vAlign w:val="center"/>
          </w:tcPr>
          <w:p>
            <w:pPr>
              <w:adjustRightInd w:val="0"/>
              <w:snapToGrid w:val="0"/>
              <w:jc w:val="center"/>
              <w:rPr>
                <w:rFonts w:eastAsia="Times New Roman"/>
                <w:sz w:val="21"/>
                <w:szCs w:val="21"/>
              </w:rPr>
            </w:pPr>
            <w:r>
              <w:rPr>
                <w:rFonts w:hint="eastAsia" w:ascii="宋体" w:hAnsi="宋体" w:eastAsia="Times New Roman" w:cs="宋体"/>
                <w:sz w:val="21"/>
                <w:szCs w:val="21"/>
              </w:rPr>
              <w:t>婺城区水利局</w:t>
            </w:r>
          </w:p>
        </w:tc>
        <w:tc>
          <w:tcPr>
            <w:tcW w:w="1134" w:type="dxa"/>
            <w:vAlign w:val="center"/>
          </w:tcPr>
          <w:p>
            <w:pPr>
              <w:adjustRightInd w:val="0"/>
              <w:snapToGrid w:val="0"/>
              <w:jc w:val="center"/>
              <w:rPr>
                <w:rFonts w:eastAsia="Times New Roman"/>
                <w:sz w:val="21"/>
                <w:szCs w:val="21"/>
              </w:rPr>
            </w:pPr>
            <w:r>
              <w:rPr>
                <w:rFonts w:hint="eastAsia" w:ascii="宋体" w:hAnsi="宋体" w:eastAsia="Times New Roman" w:cs="宋体"/>
                <w:sz w:val="21"/>
                <w:szCs w:val="21"/>
              </w:rPr>
              <w:t>东南</w:t>
            </w:r>
          </w:p>
        </w:tc>
        <w:tc>
          <w:tcPr>
            <w:tcW w:w="3082" w:type="dxa"/>
            <w:vAlign w:val="center"/>
          </w:tcPr>
          <w:p>
            <w:pPr>
              <w:adjustRightInd w:val="0"/>
              <w:snapToGrid w:val="0"/>
              <w:jc w:val="center"/>
              <w:rPr>
                <w:rFonts w:eastAsia="Times New Roman"/>
                <w:sz w:val="21"/>
                <w:szCs w:val="21"/>
              </w:rPr>
            </w:pPr>
            <w:r>
              <w:rPr>
                <w:rFonts w:hint="eastAsia" w:ascii="宋体" w:hAnsi="宋体" w:eastAsia="Times New Roman" w:cs="宋体"/>
                <w:sz w:val="21"/>
                <w:szCs w:val="21"/>
              </w:rPr>
              <w:t>约</w:t>
            </w:r>
            <w:r>
              <w:rPr>
                <w:rFonts w:hint="eastAsia" w:eastAsia="Times New Roman"/>
                <w:sz w:val="21"/>
                <w:szCs w:val="21"/>
              </w:rPr>
              <w:t>7</w:t>
            </w:r>
            <w:r>
              <w:rPr>
                <w:rFonts w:eastAsia="Times New Roman"/>
                <w:sz w:val="21"/>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vAlign w:val="center"/>
          </w:tcPr>
          <w:p>
            <w:pPr>
              <w:pStyle w:val="292"/>
              <w:numPr>
                <w:ilvl w:val="0"/>
                <w:numId w:val="5"/>
              </w:numPr>
              <w:adjustRightInd w:val="0"/>
              <w:snapToGrid w:val="0"/>
              <w:ind w:firstLineChars="0"/>
              <w:jc w:val="center"/>
              <w:rPr>
                <w:rFonts w:eastAsia="Times New Roman"/>
                <w:kern w:val="2"/>
                <w:sz w:val="21"/>
                <w:szCs w:val="21"/>
              </w:rPr>
            </w:pPr>
          </w:p>
        </w:tc>
        <w:tc>
          <w:tcPr>
            <w:tcW w:w="709" w:type="dxa"/>
            <w:vMerge w:val="continue"/>
            <w:vAlign w:val="center"/>
          </w:tcPr>
          <w:p>
            <w:pPr>
              <w:adjustRightInd w:val="0"/>
              <w:snapToGrid w:val="0"/>
              <w:jc w:val="center"/>
              <w:rPr>
                <w:rFonts w:eastAsia="Times New Roman"/>
                <w:sz w:val="21"/>
                <w:szCs w:val="21"/>
              </w:rPr>
            </w:pPr>
          </w:p>
        </w:tc>
        <w:tc>
          <w:tcPr>
            <w:tcW w:w="3686" w:type="dxa"/>
            <w:vAlign w:val="center"/>
          </w:tcPr>
          <w:p>
            <w:pPr>
              <w:adjustRightInd w:val="0"/>
              <w:snapToGrid w:val="0"/>
              <w:jc w:val="center"/>
              <w:rPr>
                <w:rFonts w:eastAsia="Times New Roman"/>
                <w:sz w:val="21"/>
                <w:szCs w:val="21"/>
              </w:rPr>
            </w:pPr>
            <w:r>
              <w:rPr>
                <w:rFonts w:hint="eastAsia" w:ascii="宋体" w:hAnsi="宋体" w:eastAsia="Times New Roman" w:cs="宋体"/>
                <w:sz w:val="21"/>
                <w:szCs w:val="21"/>
              </w:rPr>
              <w:t>金华市水上交通指挥中心</w:t>
            </w:r>
          </w:p>
        </w:tc>
        <w:tc>
          <w:tcPr>
            <w:tcW w:w="1134" w:type="dxa"/>
            <w:vAlign w:val="center"/>
          </w:tcPr>
          <w:p>
            <w:pPr>
              <w:adjustRightInd w:val="0"/>
              <w:snapToGrid w:val="0"/>
              <w:jc w:val="center"/>
              <w:rPr>
                <w:rFonts w:eastAsia="Times New Roman"/>
                <w:sz w:val="21"/>
                <w:szCs w:val="21"/>
              </w:rPr>
            </w:pPr>
            <w:r>
              <w:rPr>
                <w:rFonts w:hint="eastAsia" w:ascii="宋体" w:hAnsi="宋体" w:eastAsia="Times New Roman" w:cs="宋体"/>
                <w:sz w:val="21"/>
                <w:szCs w:val="21"/>
              </w:rPr>
              <w:t>东南</w:t>
            </w:r>
          </w:p>
        </w:tc>
        <w:tc>
          <w:tcPr>
            <w:tcW w:w="3082" w:type="dxa"/>
            <w:vAlign w:val="center"/>
          </w:tcPr>
          <w:p>
            <w:pPr>
              <w:adjustRightInd w:val="0"/>
              <w:snapToGrid w:val="0"/>
              <w:jc w:val="center"/>
              <w:rPr>
                <w:rFonts w:eastAsia="Times New Roman"/>
                <w:sz w:val="21"/>
                <w:szCs w:val="21"/>
              </w:rPr>
            </w:pPr>
            <w:r>
              <w:rPr>
                <w:rFonts w:hint="eastAsia" w:ascii="宋体" w:hAnsi="宋体" w:eastAsia="Times New Roman" w:cs="宋体"/>
                <w:sz w:val="21"/>
                <w:szCs w:val="21"/>
              </w:rPr>
              <w:t>约</w:t>
            </w:r>
            <w:r>
              <w:rPr>
                <w:rFonts w:eastAsia="Times New Roman"/>
                <w:sz w:val="21"/>
                <w:szCs w:val="21"/>
              </w:rPr>
              <w:t>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vAlign w:val="center"/>
          </w:tcPr>
          <w:p>
            <w:pPr>
              <w:pStyle w:val="292"/>
              <w:numPr>
                <w:ilvl w:val="0"/>
                <w:numId w:val="5"/>
              </w:numPr>
              <w:adjustRightInd w:val="0"/>
              <w:snapToGrid w:val="0"/>
              <w:ind w:firstLineChars="0"/>
              <w:jc w:val="center"/>
              <w:rPr>
                <w:rFonts w:eastAsia="Times New Roman"/>
                <w:kern w:val="2"/>
                <w:sz w:val="21"/>
                <w:szCs w:val="21"/>
              </w:rPr>
            </w:pPr>
          </w:p>
        </w:tc>
        <w:tc>
          <w:tcPr>
            <w:tcW w:w="709" w:type="dxa"/>
            <w:vMerge w:val="continue"/>
            <w:vAlign w:val="center"/>
          </w:tcPr>
          <w:p>
            <w:pPr>
              <w:adjustRightInd w:val="0"/>
              <w:snapToGrid w:val="0"/>
              <w:jc w:val="center"/>
              <w:rPr>
                <w:rFonts w:eastAsia="Times New Roman"/>
                <w:sz w:val="21"/>
                <w:szCs w:val="21"/>
              </w:rPr>
            </w:pPr>
          </w:p>
        </w:tc>
        <w:tc>
          <w:tcPr>
            <w:tcW w:w="3686" w:type="dxa"/>
            <w:vAlign w:val="center"/>
          </w:tcPr>
          <w:p>
            <w:pPr>
              <w:adjustRightInd w:val="0"/>
              <w:snapToGrid w:val="0"/>
              <w:jc w:val="center"/>
              <w:rPr>
                <w:rFonts w:eastAsia="Times New Roman"/>
                <w:sz w:val="21"/>
                <w:szCs w:val="21"/>
              </w:rPr>
            </w:pPr>
            <w:r>
              <w:rPr>
                <w:rFonts w:hint="eastAsia" w:ascii="宋体" w:hAnsi="宋体" w:eastAsia="Times New Roman" w:cs="宋体"/>
                <w:sz w:val="21"/>
                <w:szCs w:val="21"/>
              </w:rPr>
              <w:t>金华市社会福利中心护理院</w:t>
            </w:r>
          </w:p>
        </w:tc>
        <w:tc>
          <w:tcPr>
            <w:tcW w:w="1134" w:type="dxa"/>
            <w:vAlign w:val="center"/>
          </w:tcPr>
          <w:p>
            <w:pPr>
              <w:adjustRightInd w:val="0"/>
              <w:snapToGrid w:val="0"/>
              <w:jc w:val="center"/>
              <w:rPr>
                <w:rFonts w:eastAsia="Times New Roman"/>
                <w:sz w:val="21"/>
                <w:szCs w:val="21"/>
              </w:rPr>
            </w:pPr>
            <w:r>
              <w:rPr>
                <w:rFonts w:hint="eastAsia" w:ascii="宋体" w:hAnsi="宋体" w:eastAsia="Times New Roman" w:cs="宋体"/>
                <w:sz w:val="21"/>
                <w:szCs w:val="21"/>
              </w:rPr>
              <w:t>西南</w:t>
            </w:r>
          </w:p>
        </w:tc>
        <w:tc>
          <w:tcPr>
            <w:tcW w:w="3082" w:type="dxa"/>
            <w:vAlign w:val="center"/>
          </w:tcPr>
          <w:p>
            <w:pPr>
              <w:adjustRightInd w:val="0"/>
              <w:snapToGrid w:val="0"/>
              <w:jc w:val="center"/>
              <w:rPr>
                <w:rFonts w:eastAsia="Times New Roman"/>
                <w:sz w:val="21"/>
                <w:szCs w:val="21"/>
              </w:rPr>
            </w:pPr>
            <w:r>
              <w:rPr>
                <w:rFonts w:hint="eastAsia" w:ascii="宋体" w:hAnsi="宋体" w:eastAsia="Times New Roman" w:cs="宋体"/>
                <w:sz w:val="21"/>
                <w:szCs w:val="21"/>
              </w:rPr>
              <w:t>约</w:t>
            </w:r>
            <w:r>
              <w:rPr>
                <w:rFonts w:hint="eastAsia" w:eastAsia="Times New Roman"/>
                <w:sz w:val="21"/>
                <w:szCs w:val="21"/>
              </w:rPr>
              <w:t>5</w:t>
            </w:r>
            <w:r>
              <w:rPr>
                <w:rFonts w:eastAsia="Times New Roman"/>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vAlign w:val="center"/>
          </w:tcPr>
          <w:p>
            <w:pPr>
              <w:pStyle w:val="292"/>
              <w:numPr>
                <w:ilvl w:val="0"/>
                <w:numId w:val="5"/>
              </w:numPr>
              <w:adjustRightInd w:val="0"/>
              <w:snapToGrid w:val="0"/>
              <w:ind w:firstLineChars="0"/>
              <w:jc w:val="center"/>
              <w:rPr>
                <w:rFonts w:eastAsia="Times New Roman"/>
                <w:kern w:val="2"/>
                <w:sz w:val="21"/>
                <w:szCs w:val="21"/>
              </w:rPr>
            </w:pPr>
          </w:p>
        </w:tc>
        <w:tc>
          <w:tcPr>
            <w:tcW w:w="709" w:type="dxa"/>
            <w:vMerge w:val="restart"/>
            <w:vAlign w:val="center"/>
          </w:tcPr>
          <w:p>
            <w:pPr>
              <w:adjustRightInd w:val="0"/>
              <w:snapToGrid w:val="0"/>
              <w:jc w:val="center"/>
              <w:rPr>
                <w:rFonts w:eastAsia="Times New Roman"/>
                <w:kern w:val="2"/>
                <w:sz w:val="21"/>
                <w:szCs w:val="21"/>
              </w:rPr>
            </w:pPr>
            <w:r>
              <w:rPr>
                <w:rFonts w:hint="eastAsia" w:ascii="宋体" w:hAnsi="宋体" w:eastAsia="Times New Roman" w:cs="宋体"/>
                <w:sz w:val="21"/>
                <w:szCs w:val="21"/>
              </w:rPr>
              <w:t>学校</w:t>
            </w:r>
          </w:p>
        </w:tc>
        <w:tc>
          <w:tcPr>
            <w:tcW w:w="3686" w:type="dxa"/>
            <w:vAlign w:val="center"/>
          </w:tcPr>
          <w:p>
            <w:pPr>
              <w:adjustRightInd w:val="0"/>
              <w:snapToGrid w:val="0"/>
              <w:jc w:val="center"/>
              <w:rPr>
                <w:rFonts w:eastAsia="Times New Roman"/>
                <w:kern w:val="2"/>
                <w:sz w:val="21"/>
                <w:szCs w:val="21"/>
              </w:rPr>
            </w:pPr>
            <w:r>
              <w:rPr>
                <w:rFonts w:hint="eastAsia" w:ascii="宋体" w:hAnsi="宋体" w:eastAsia="Times New Roman" w:cs="宋体"/>
                <w:sz w:val="21"/>
                <w:szCs w:val="21"/>
              </w:rPr>
              <w:t>婺城小学</w:t>
            </w:r>
          </w:p>
        </w:tc>
        <w:tc>
          <w:tcPr>
            <w:tcW w:w="1134" w:type="dxa"/>
            <w:vAlign w:val="center"/>
          </w:tcPr>
          <w:p>
            <w:pPr>
              <w:adjustRightInd w:val="0"/>
              <w:snapToGrid w:val="0"/>
              <w:jc w:val="center"/>
              <w:rPr>
                <w:rFonts w:eastAsia="Times New Roman"/>
                <w:sz w:val="21"/>
                <w:szCs w:val="21"/>
              </w:rPr>
            </w:pPr>
            <w:r>
              <w:rPr>
                <w:rFonts w:hint="eastAsia" w:ascii="宋体" w:hAnsi="宋体" w:eastAsia="Times New Roman" w:cs="宋体"/>
                <w:sz w:val="21"/>
                <w:szCs w:val="21"/>
              </w:rPr>
              <w:t>东南</w:t>
            </w:r>
          </w:p>
        </w:tc>
        <w:tc>
          <w:tcPr>
            <w:tcW w:w="3082" w:type="dxa"/>
            <w:vAlign w:val="center"/>
          </w:tcPr>
          <w:p>
            <w:pPr>
              <w:adjustRightInd w:val="0"/>
              <w:snapToGrid w:val="0"/>
              <w:jc w:val="center"/>
              <w:rPr>
                <w:rFonts w:eastAsia="Times New Roman"/>
                <w:sz w:val="21"/>
                <w:szCs w:val="21"/>
              </w:rPr>
            </w:pPr>
            <w:r>
              <w:rPr>
                <w:rFonts w:hint="eastAsia" w:ascii="宋体" w:hAnsi="宋体" w:eastAsia="Times New Roman" w:cs="宋体"/>
                <w:sz w:val="21"/>
                <w:szCs w:val="21"/>
              </w:rPr>
              <w:t>约</w:t>
            </w:r>
            <w:r>
              <w:rPr>
                <w:rFonts w:hint="eastAsia" w:eastAsia="Times New Roman"/>
                <w:sz w:val="21"/>
                <w:szCs w:val="21"/>
              </w:rPr>
              <w:t>5</w:t>
            </w:r>
            <w:r>
              <w:rPr>
                <w:rFonts w:eastAsia="Times New Roman"/>
                <w:sz w:val="21"/>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vAlign w:val="center"/>
          </w:tcPr>
          <w:p>
            <w:pPr>
              <w:pStyle w:val="292"/>
              <w:numPr>
                <w:ilvl w:val="0"/>
                <w:numId w:val="5"/>
              </w:numPr>
              <w:adjustRightInd w:val="0"/>
              <w:snapToGrid w:val="0"/>
              <w:ind w:firstLineChars="0"/>
              <w:jc w:val="center"/>
              <w:rPr>
                <w:rFonts w:eastAsia="Times New Roman"/>
                <w:kern w:val="2"/>
                <w:sz w:val="21"/>
                <w:szCs w:val="21"/>
              </w:rPr>
            </w:pPr>
          </w:p>
        </w:tc>
        <w:tc>
          <w:tcPr>
            <w:tcW w:w="709" w:type="dxa"/>
            <w:vMerge w:val="continue"/>
            <w:vAlign w:val="center"/>
          </w:tcPr>
          <w:p>
            <w:pPr>
              <w:widowControl/>
              <w:jc w:val="center"/>
              <w:rPr>
                <w:rFonts w:eastAsia="Times New Roman"/>
                <w:kern w:val="2"/>
                <w:sz w:val="21"/>
                <w:szCs w:val="21"/>
              </w:rPr>
            </w:pPr>
          </w:p>
        </w:tc>
        <w:tc>
          <w:tcPr>
            <w:tcW w:w="3686" w:type="dxa"/>
            <w:vAlign w:val="center"/>
          </w:tcPr>
          <w:p>
            <w:pPr>
              <w:adjustRightInd w:val="0"/>
              <w:snapToGrid w:val="0"/>
              <w:jc w:val="center"/>
              <w:rPr>
                <w:rFonts w:eastAsia="Times New Roman"/>
                <w:kern w:val="2"/>
                <w:sz w:val="21"/>
                <w:szCs w:val="21"/>
              </w:rPr>
            </w:pPr>
            <w:r>
              <w:rPr>
                <w:rFonts w:hint="eastAsia" w:ascii="宋体" w:hAnsi="宋体" w:eastAsia="Times New Roman" w:cs="宋体"/>
                <w:kern w:val="2"/>
                <w:sz w:val="21"/>
                <w:szCs w:val="21"/>
              </w:rPr>
              <w:t>佳禾艺术幼儿园</w:t>
            </w:r>
          </w:p>
        </w:tc>
        <w:tc>
          <w:tcPr>
            <w:tcW w:w="1134" w:type="dxa"/>
            <w:vAlign w:val="center"/>
          </w:tcPr>
          <w:p>
            <w:pPr>
              <w:adjustRightInd w:val="0"/>
              <w:snapToGrid w:val="0"/>
              <w:jc w:val="center"/>
              <w:rPr>
                <w:rFonts w:eastAsia="Times New Roman"/>
                <w:kern w:val="2"/>
                <w:sz w:val="21"/>
                <w:szCs w:val="21"/>
              </w:rPr>
            </w:pPr>
            <w:r>
              <w:rPr>
                <w:rFonts w:hint="eastAsia" w:ascii="宋体" w:hAnsi="宋体" w:eastAsia="Times New Roman" w:cs="宋体"/>
                <w:sz w:val="21"/>
                <w:szCs w:val="21"/>
              </w:rPr>
              <w:t>东南</w:t>
            </w:r>
          </w:p>
        </w:tc>
        <w:tc>
          <w:tcPr>
            <w:tcW w:w="3082" w:type="dxa"/>
            <w:vAlign w:val="center"/>
          </w:tcPr>
          <w:p>
            <w:pPr>
              <w:adjustRightInd w:val="0"/>
              <w:snapToGrid w:val="0"/>
              <w:jc w:val="center"/>
              <w:rPr>
                <w:rFonts w:eastAsia="Times New Roman"/>
                <w:kern w:val="2"/>
                <w:sz w:val="21"/>
                <w:szCs w:val="21"/>
              </w:rPr>
            </w:pPr>
            <w:r>
              <w:rPr>
                <w:rFonts w:hint="eastAsia" w:ascii="宋体" w:hAnsi="宋体" w:eastAsia="Times New Roman" w:cs="宋体"/>
                <w:sz w:val="21"/>
                <w:szCs w:val="21"/>
              </w:rPr>
              <w:t>约</w:t>
            </w:r>
            <w:r>
              <w:rPr>
                <w:rFonts w:hint="eastAsia" w:eastAsia="Times New Roman"/>
                <w:sz w:val="21"/>
                <w:szCs w:val="21"/>
              </w:rPr>
              <w:t>6</w:t>
            </w:r>
            <w:r>
              <w:rPr>
                <w:rFonts w:eastAsia="Times New Roman"/>
                <w:sz w:val="21"/>
                <w:szCs w:val="21"/>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5" w:type="dxa"/>
            <w:vAlign w:val="center"/>
          </w:tcPr>
          <w:p>
            <w:pPr>
              <w:pStyle w:val="292"/>
              <w:numPr>
                <w:ilvl w:val="0"/>
                <w:numId w:val="5"/>
              </w:numPr>
              <w:adjustRightInd w:val="0"/>
              <w:snapToGrid w:val="0"/>
              <w:ind w:firstLineChars="0"/>
              <w:jc w:val="center"/>
              <w:rPr>
                <w:rFonts w:eastAsia="Times New Roman"/>
                <w:kern w:val="2"/>
                <w:sz w:val="21"/>
                <w:szCs w:val="21"/>
              </w:rPr>
            </w:pPr>
          </w:p>
        </w:tc>
        <w:tc>
          <w:tcPr>
            <w:tcW w:w="709" w:type="dxa"/>
            <w:vAlign w:val="center"/>
          </w:tcPr>
          <w:p>
            <w:pPr>
              <w:widowControl/>
              <w:jc w:val="center"/>
              <w:rPr>
                <w:rFonts w:eastAsia="Times New Roman"/>
                <w:kern w:val="2"/>
                <w:sz w:val="21"/>
                <w:szCs w:val="21"/>
              </w:rPr>
            </w:pPr>
            <w:r>
              <w:rPr>
                <w:rFonts w:hint="eastAsia" w:eastAsia="Times New Roman"/>
                <w:kern w:val="2"/>
                <w:sz w:val="21"/>
                <w:szCs w:val="21"/>
              </w:rPr>
              <w:t>地表水体</w:t>
            </w:r>
          </w:p>
        </w:tc>
        <w:tc>
          <w:tcPr>
            <w:tcW w:w="3686" w:type="dxa"/>
            <w:vAlign w:val="center"/>
          </w:tcPr>
          <w:p>
            <w:pPr>
              <w:adjustRightInd w:val="0"/>
              <w:snapToGrid w:val="0"/>
              <w:jc w:val="center"/>
              <w:rPr>
                <w:rFonts w:ascii="宋体" w:hAnsi="宋体" w:eastAsia="Times New Roman" w:cs="宋体"/>
                <w:kern w:val="2"/>
                <w:sz w:val="21"/>
                <w:szCs w:val="21"/>
              </w:rPr>
            </w:pPr>
            <w:r>
              <w:rPr>
                <w:rFonts w:hint="eastAsia" w:ascii="宋体" w:hAnsi="宋体" w:eastAsia="Times New Roman" w:cs="宋体"/>
                <w:kern w:val="2"/>
                <w:sz w:val="21"/>
                <w:szCs w:val="21"/>
              </w:rPr>
              <w:t>白沙溪</w:t>
            </w:r>
          </w:p>
        </w:tc>
        <w:tc>
          <w:tcPr>
            <w:tcW w:w="1134" w:type="dxa"/>
            <w:vAlign w:val="center"/>
          </w:tcPr>
          <w:p>
            <w:pPr>
              <w:adjustRightInd w:val="0"/>
              <w:snapToGrid w:val="0"/>
              <w:jc w:val="center"/>
              <w:rPr>
                <w:rFonts w:ascii="宋体" w:hAnsi="宋体" w:eastAsia="Times New Roman" w:cs="宋体"/>
                <w:sz w:val="21"/>
                <w:szCs w:val="21"/>
              </w:rPr>
            </w:pPr>
            <w:r>
              <w:rPr>
                <w:rFonts w:hint="eastAsia" w:ascii="宋体" w:hAnsi="宋体" w:eastAsia="Times New Roman" w:cs="宋体"/>
                <w:sz w:val="21"/>
                <w:szCs w:val="21"/>
              </w:rPr>
              <w:t>西</w:t>
            </w:r>
          </w:p>
        </w:tc>
        <w:tc>
          <w:tcPr>
            <w:tcW w:w="3082" w:type="dxa"/>
            <w:vAlign w:val="center"/>
          </w:tcPr>
          <w:p>
            <w:pPr>
              <w:adjustRightInd w:val="0"/>
              <w:snapToGrid w:val="0"/>
              <w:jc w:val="center"/>
              <w:rPr>
                <w:rFonts w:ascii="宋体" w:hAnsi="宋体" w:eastAsia="Times New Roman" w:cs="宋体"/>
                <w:sz w:val="21"/>
                <w:szCs w:val="21"/>
              </w:rPr>
            </w:pPr>
            <w:r>
              <w:rPr>
                <w:rFonts w:hint="eastAsia" w:ascii="宋体" w:hAnsi="宋体" w:eastAsia="Times New Roman" w:cs="宋体"/>
                <w:sz w:val="21"/>
                <w:szCs w:val="21"/>
              </w:rPr>
              <w:t>约100</w:t>
            </w:r>
          </w:p>
        </w:tc>
      </w:tr>
    </w:tbl>
    <w:p>
      <w:pPr>
        <w:spacing w:line="360" w:lineRule="auto"/>
        <w:jc w:val="center"/>
      </w:pPr>
      <w:r>
        <w:drawing>
          <wp:inline distT="0" distB="0" distL="0" distR="0">
            <wp:extent cx="5759450" cy="4072255"/>
            <wp:effectExtent l="0" t="0" r="12700" b="4445"/>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23"/>
                    <a:stretch>
                      <a:fillRect/>
                    </a:stretch>
                  </pic:blipFill>
                  <pic:spPr>
                    <a:xfrm>
                      <a:off x="0" y="0"/>
                      <a:ext cx="5759450" cy="4072255"/>
                    </a:xfrm>
                    <a:prstGeom prst="rect">
                      <a:avLst/>
                    </a:prstGeom>
                  </pic:spPr>
                </pic:pic>
              </a:graphicData>
            </a:graphic>
          </wp:inline>
        </w:drawing>
      </w:r>
    </w:p>
    <w:p>
      <w:pPr>
        <w:spacing w:line="360" w:lineRule="auto"/>
        <w:jc w:val="center"/>
        <w:rPr>
          <w:sz w:val="24"/>
          <w:szCs w:val="24"/>
        </w:rPr>
      </w:pPr>
      <w:r>
        <w:rPr>
          <w:b/>
          <w:sz w:val="24"/>
          <w:szCs w:val="24"/>
        </w:rPr>
        <w:t>图3.2-1  地块周边主要敏感目标分布图</w:t>
      </w:r>
    </w:p>
    <w:p>
      <w:pPr>
        <w:pStyle w:val="116"/>
        <w:rPr>
          <w:rFonts w:ascii="Times New Roman" w:hAnsi="Times New Roman" w:eastAsia="宋体"/>
          <w:szCs w:val="28"/>
        </w:rPr>
      </w:pPr>
      <w:bookmarkStart w:id="38" w:name="_Toc149641975"/>
      <w:r>
        <w:rPr>
          <w:rFonts w:ascii="Times New Roman" w:hAnsi="Times New Roman" w:eastAsia="宋体"/>
          <w:szCs w:val="28"/>
        </w:rPr>
        <w:t>3.3 地块的现状和历史</w:t>
      </w:r>
      <w:bookmarkEnd w:id="27"/>
      <w:bookmarkEnd w:id="38"/>
    </w:p>
    <w:p>
      <w:pPr>
        <w:pStyle w:val="116"/>
        <w:outlineLvl w:val="2"/>
        <w:rPr>
          <w:rFonts w:ascii="Times New Roman" w:hAnsi="Times New Roman" w:eastAsia="宋体"/>
          <w:sz w:val="24"/>
        </w:rPr>
      </w:pPr>
      <w:bookmarkStart w:id="39" w:name="_Toc360008353"/>
      <w:bookmarkStart w:id="40" w:name="_Toc209517647"/>
      <w:bookmarkStart w:id="41" w:name="_Toc209537259"/>
      <w:bookmarkStart w:id="42" w:name="_Toc149641976"/>
      <w:r>
        <w:rPr>
          <w:rFonts w:ascii="Times New Roman" w:hAnsi="Times New Roman" w:eastAsia="宋体"/>
          <w:sz w:val="24"/>
        </w:rPr>
        <w:t xml:space="preserve">3.3.1 </w:t>
      </w:r>
      <w:bookmarkEnd w:id="39"/>
      <w:bookmarkEnd w:id="40"/>
      <w:bookmarkEnd w:id="41"/>
      <w:r>
        <w:rPr>
          <w:rFonts w:ascii="Times New Roman" w:hAnsi="Times New Roman" w:eastAsia="宋体"/>
          <w:sz w:val="24"/>
          <w:szCs w:val="24"/>
        </w:rPr>
        <w:t>地块</w:t>
      </w:r>
      <w:r>
        <w:rPr>
          <w:rFonts w:ascii="Times New Roman" w:hAnsi="Times New Roman" w:eastAsia="宋体"/>
          <w:sz w:val="24"/>
        </w:rPr>
        <w:t>使用现状概况</w:t>
      </w:r>
      <w:bookmarkEnd w:id="42"/>
    </w:p>
    <w:p>
      <w:pPr>
        <w:spacing w:line="440" w:lineRule="exact"/>
        <w:ind w:firstLine="480" w:firstLineChars="200"/>
        <w:rPr>
          <w:sz w:val="24"/>
          <w:szCs w:val="24"/>
        </w:rPr>
      </w:pPr>
      <w:r>
        <w:rPr>
          <w:sz w:val="24"/>
          <w:szCs w:val="24"/>
        </w:rPr>
        <w:t>金华市婺城区婺城新区单元(ZX-15-01-19)地块</w:t>
      </w:r>
      <w:r>
        <w:rPr>
          <w:sz w:val="24"/>
        </w:rPr>
        <w:t>位于</w:t>
      </w:r>
      <w:r>
        <w:rPr>
          <w:sz w:val="24"/>
          <w:szCs w:val="24"/>
        </w:rPr>
        <w:t>东堰街以东、东俞路以南、金江南街以西、横三路以北</w:t>
      </w:r>
      <w:r>
        <w:rPr>
          <w:sz w:val="24"/>
        </w:rPr>
        <w:t>，本次初步调查地块面积约</w:t>
      </w:r>
      <w:r>
        <w:rPr>
          <w:sz w:val="24"/>
          <w:szCs w:val="24"/>
        </w:rPr>
        <w:t>63950.01</w:t>
      </w:r>
      <w:r>
        <w:rPr>
          <w:sz w:val="24"/>
        </w:rPr>
        <w:t>m</w:t>
      </w:r>
      <w:r>
        <w:rPr>
          <w:sz w:val="24"/>
          <w:vertAlign w:val="superscript"/>
        </w:rPr>
        <w:t>2</w:t>
      </w:r>
      <w:r>
        <w:rPr>
          <w:sz w:val="24"/>
        </w:rPr>
        <w:t>。</w:t>
      </w:r>
      <w:r>
        <w:rPr>
          <w:sz w:val="24"/>
          <w:szCs w:val="24"/>
        </w:rPr>
        <w:t>目前地块内已</w:t>
      </w:r>
      <w:r>
        <w:rPr>
          <w:rFonts w:hint="eastAsia"/>
          <w:sz w:val="24"/>
          <w:szCs w:val="24"/>
        </w:rPr>
        <w:t>开展</w:t>
      </w:r>
      <w:r>
        <w:rPr>
          <w:sz w:val="24"/>
          <w:szCs w:val="24"/>
        </w:rPr>
        <w:t>施工</w:t>
      </w:r>
      <w:r>
        <w:rPr>
          <w:rFonts w:hint="eastAsia"/>
          <w:sz w:val="24"/>
          <w:szCs w:val="24"/>
        </w:rPr>
        <w:t>平整</w:t>
      </w:r>
      <w:r>
        <w:rPr>
          <w:sz w:val="24"/>
          <w:szCs w:val="24"/>
        </w:rPr>
        <w:t>，</w:t>
      </w:r>
      <w:r>
        <w:rPr>
          <w:rFonts w:hint="eastAsia"/>
          <w:sz w:val="24"/>
          <w:szCs w:val="24"/>
        </w:rPr>
        <w:t>部分</w:t>
      </w:r>
      <w:r>
        <w:rPr>
          <w:sz w:val="24"/>
        </w:rPr>
        <w:t>表层土已被开挖</w:t>
      </w:r>
      <w:r>
        <w:rPr>
          <w:sz w:val="24"/>
          <w:szCs w:val="24"/>
        </w:rPr>
        <w:t>。</w:t>
      </w:r>
    </w:p>
    <w:p>
      <w:pPr>
        <w:spacing w:line="440" w:lineRule="exact"/>
        <w:ind w:firstLine="480" w:firstLineChars="200"/>
        <w:rPr>
          <w:sz w:val="24"/>
          <w:szCs w:val="24"/>
        </w:rPr>
      </w:pPr>
      <w:r>
        <w:rPr>
          <w:sz w:val="24"/>
        </w:rPr>
        <w:t>本次调查地块内现场踏勘及现状</w:t>
      </w:r>
      <w:r>
        <w:rPr>
          <w:rFonts w:hint="eastAsia"/>
          <w:sz w:val="24"/>
        </w:rPr>
        <w:t>航拍</w:t>
      </w:r>
      <w:r>
        <w:rPr>
          <w:sz w:val="24"/>
        </w:rPr>
        <w:t>照片见图3.3-1。</w:t>
      </w:r>
    </w:p>
    <w:tbl>
      <w:tblPr>
        <w:tblStyle w:val="36"/>
        <w:tblW w:w="928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2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287" w:type="dxa"/>
            <w:vAlign w:val="center"/>
          </w:tcPr>
          <w:p>
            <w:pPr>
              <w:jc w:val="center"/>
              <w:rPr>
                <w:sz w:val="24"/>
                <w:szCs w:val="24"/>
              </w:rPr>
            </w:pPr>
            <w:r>
              <w:rPr>
                <w:sz w:val="24"/>
                <w:szCs w:val="24"/>
              </w:rPr>
              <w:drawing>
                <wp:anchor distT="0" distB="0" distL="114300" distR="114300" simplePos="0" relativeHeight="251669504" behindDoc="0" locked="0" layoutInCell="1" allowOverlap="1">
                  <wp:simplePos x="0" y="0"/>
                  <wp:positionH relativeFrom="column">
                    <wp:posOffset>940435</wp:posOffset>
                  </wp:positionH>
                  <wp:positionV relativeFrom="paragraph">
                    <wp:posOffset>1316990</wp:posOffset>
                  </wp:positionV>
                  <wp:extent cx="3584575" cy="2112645"/>
                  <wp:effectExtent l="0" t="0" r="15875" b="1905"/>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4"/>
                          <a:srcRect/>
                          <a:stretch>
                            <a:fillRect/>
                          </a:stretch>
                        </pic:blipFill>
                        <pic:spPr>
                          <a:xfrm rot="10800000">
                            <a:off x="0" y="0"/>
                            <a:ext cx="3584575" cy="2112645"/>
                          </a:xfrm>
                          <a:prstGeom prst="rect">
                            <a:avLst/>
                          </a:prstGeom>
                          <a:noFill/>
                          <a:ln>
                            <a:noFill/>
                          </a:ln>
                        </pic:spPr>
                      </pic:pic>
                    </a:graphicData>
                  </a:graphic>
                </wp:anchor>
              </w:drawing>
            </w:r>
            <w:r>
              <w:rPr>
                <w:sz w:val="24"/>
                <w:szCs w:val="24"/>
              </w:rPr>
              <w:pict>
                <v:shape id="_x0000_s1385" o:spid="_x0000_s1385" o:spt="75" alt="" type="#_x0000_t75" style="position:absolute;left:0pt;margin-left:365.85pt;margin-top:1.55pt;height:110.95pt;width:136.15pt;z-index:251671552;mso-width-relative:page;mso-height-relative:page;" o:ole="t" filled="f" o:preferrelative="t" stroked="f" coordsize="21600,21600">
                  <v:path/>
                  <v:fill on="f" focussize="0,0"/>
                  <v:stroke on="f"/>
                  <v:imagedata r:id="rId26" o:title=""/>
                  <o:lock v:ext="edit" aspectratio="t"/>
                </v:shape>
                <o:OLEObject Type="Embed" ProgID="Visio.Drawing.11" ShapeID="_x0000_s1385" DrawAspect="Content" ObjectID="_1468075726" r:id="rId25">
                  <o:LockedField>false</o:LockedField>
                </o:OLEObject>
              </w:pict>
            </w:r>
            <w:r>
              <w:rPr>
                <w:sz w:val="24"/>
                <w:szCs w:val="24"/>
              </w:rPr>
              <w:drawing>
                <wp:inline distT="0" distB="0" distL="0" distR="0">
                  <wp:extent cx="4582795" cy="3895725"/>
                  <wp:effectExtent l="0" t="0" r="825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7"/>
                          <a:srcRect/>
                          <a:stretch>
                            <a:fillRect/>
                          </a:stretch>
                        </pic:blipFill>
                        <pic:spPr>
                          <a:xfrm>
                            <a:off x="0" y="0"/>
                            <a:ext cx="4582795" cy="3895725"/>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287" w:type="dxa"/>
            <w:vAlign w:val="center"/>
          </w:tcPr>
          <w:p>
            <w:pPr>
              <w:jc w:val="center"/>
              <w:rPr>
                <w:sz w:val="24"/>
                <w:szCs w:val="24"/>
              </w:rPr>
            </w:pPr>
            <w:r>
              <w:rPr>
                <w:rFonts w:hint="eastAsia"/>
                <w:sz w:val="24"/>
                <w:szCs w:val="24"/>
              </w:rPr>
              <w:t>目前地块内已开展施工平整，部分表层土已被开挖。</w:t>
            </w:r>
          </w:p>
        </w:tc>
      </w:tr>
    </w:tbl>
    <w:p>
      <w:pPr>
        <w:numPr>
          <w:ilvl w:val="0"/>
          <w:numId w:val="6"/>
        </w:numPr>
        <w:spacing w:line="360" w:lineRule="auto"/>
        <w:jc w:val="center"/>
        <w:rPr>
          <w:sz w:val="24"/>
          <w:szCs w:val="24"/>
        </w:rPr>
      </w:pPr>
      <w:r>
        <w:rPr>
          <w:b/>
          <w:sz w:val="24"/>
        </w:rPr>
        <w:t xml:space="preserve">  地块内现场踏勘及</w:t>
      </w:r>
      <w:r>
        <w:rPr>
          <w:b/>
          <w:sz w:val="24"/>
          <w:szCs w:val="24"/>
        </w:rPr>
        <w:t>现状照片</w:t>
      </w:r>
    </w:p>
    <w:p>
      <w:pPr>
        <w:pStyle w:val="116"/>
        <w:outlineLvl w:val="2"/>
        <w:rPr>
          <w:rFonts w:ascii="Times New Roman" w:hAnsi="Times New Roman" w:eastAsia="宋体"/>
          <w:sz w:val="24"/>
        </w:rPr>
      </w:pPr>
      <w:bookmarkStart w:id="43" w:name="_Toc149641977"/>
      <w:r>
        <w:rPr>
          <w:rFonts w:ascii="Times New Roman" w:hAnsi="Times New Roman" w:eastAsia="宋体"/>
          <w:sz w:val="24"/>
        </w:rPr>
        <w:t xml:space="preserve">3.3.2 </w:t>
      </w:r>
      <w:r>
        <w:rPr>
          <w:rFonts w:ascii="Times New Roman" w:hAnsi="Times New Roman" w:eastAsia="宋体"/>
          <w:sz w:val="24"/>
          <w:szCs w:val="24"/>
        </w:rPr>
        <w:t>地块</w:t>
      </w:r>
      <w:r>
        <w:rPr>
          <w:rFonts w:ascii="Times New Roman" w:hAnsi="Times New Roman" w:eastAsia="宋体"/>
          <w:sz w:val="24"/>
        </w:rPr>
        <w:t>历史使用情况回顾</w:t>
      </w:r>
      <w:bookmarkEnd w:id="43"/>
    </w:p>
    <w:p>
      <w:pPr>
        <w:spacing w:line="440" w:lineRule="exact"/>
        <w:ind w:firstLine="484" w:firstLineChars="202"/>
        <w:rPr>
          <w:sz w:val="24"/>
        </w:rPr>
      </w:pPr>
      <w:r>
        <w:rPr>
          <w:sz w:val="24"/>
          <w:szCs w:val="24"/>
        </w:rPr>
        <w:t>地块</w:t>
      </w:r>
      <w:r>
        <w:rPr>
          <w:sz w:val="24"/>
        </w:rPr>
        <w:t>历史使用情况见表3.3-1。</w:t>
      </w:r>
    </w:p>
    <w:p>
      <w:pPr>
        <w:numPr>
          <w:ilvl w:val="0"/>
          <w:numId w:val="7"/>
        </w:numPr>
        <w:spacing w:line="460" w:lineRule="exact"/>
        <w:jc w:val="center"/>
        <w:rPr>
          <w:b/>
          <w:sz w:val="24"/>
          <w:szCs w:val="24"/>
        </w:rPr>
      </w:pPr>
      <w:r>
        <w:rPr>
          <w:b/>
          <w:sz w:val="24"/>
          <w:szCs w:val="24"/>
        </w:rPr>
        <w:t xml:space="preserve">  地块历史使用情况一览表</w:t>
      </w:r>
    </w:p>
    <w:tbl>
      <w:tblPr>
        <w:tblStyle w:val="36"/>
        <w:tblW w:w="9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61"/>
        <w:gridCol w:w="2463"/>
        <w:gridCol w:w="5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661" w:type="dxa"/>
            <w:vAlign w:val="center"/>
          </w:tcPr>
          <w:p>
            <w:pPr>
              <w:adjustRightInd w:val="0"/>
              <w:snapToGrid w:val="0"/>
              <w:jc w:val="center"/>
              <w:rPr>
                <w:sz w:val="21"/>
                <w:szCs w:val="21"/>
              </w:rPr>
            </w:pPr>
            <w:r>
              <w:rPr>
                <w:sz w:val="21"/>
                <w:szCs w:val="21"/>
              </w:rPr>
              <w:t>序号</w:t>
            </w:r>
          </w:p>
        </w:tc>
        <w:tc>
          <w:tcPr>
            <w:tcW w:w="2463" w:type="dxa"/>
            <w:vAlign w:val="center"/>
          </w:tcPr>
          <w:p>
            <w:pPr>
              <w:pStyle w:val="27"/>
              <w:pBdr>
                <w:bottom w:val="none" w:color="auto" w:sz="0" w:space="0"/>
              </w:pBdr>
              <w:tabs>
                <w:tab w:val="clear" w:pos="4153"/>
                <w:tab w:val="clear" w:pos="8306"/>
              </w:tabs>
              <w:adjustRightInd w:val="0"/>
              <w:rPr>
                <w:sz w:val="21"/>
                <w:szCs w:val="21"/>
              </w:rPr>
            </w:pPr>
            <w:r>
              <w:rPr>
                <w:sz w:val="21"/>
                <w:szCs w:val="21"/>
              </w:rPr>
              <w:t>年份</w:t>
            </w:r>
          </w:p>
        </w:tc>
        <w:tc>
          <w:tcPr>
            <w:tcW w:w="5956" w:type="dxa"/>
            <w:vAlign w:val="center"/>
          </w:tcPr>
          <w:p>
            <w:pPr>
              <w:adjustRightInd w:val="0"/>
              <w:snapToGrid w:val="0"/>
              <w:jc w:val="center"/>
              <w:rPr>
                <w:sz w:val="21"/>
                <w:szCs w:val="21"/>
              </w:rPr>
            </w:pPr>
            <w:r>
              <w:rPr>
                <w:sz w:val="21"/>
                <w:szCs w:val="21"/>
              </w:rPr>
              <w:t>使用情况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61" w:type="dxa"/>
            <w:vAlign w:val="center"/>
          </w:tcPr>
          <w:p>
            <w:pPr>
              <w:adjustRightInd w:val="0"/>
              <w:snapToGrid w:val="0"/>
              <w:jc w:val="center"/>
              <w:rPr>
                <w:sz w:val="21"/>
                <w:szCs w:val="21"/>
              </w:rPr>
            </w:pPr>
            <w:r>
              <w:rPr>
                <w:sz w:val="21"/>
                <w:szCs w:val="21"/>
              </w:rPr>
              <w:t>1</w:t>
            </w:r>
          </w:p>
        </w:tc>
        <w:tc>
          <w:tcPr>
            <w:tcW w:w="2463" w:type="dxa"/>
            <w:vAlign w:val="center"/>
          </w:tcPr>
          <w:p>
            <w:pPr>
              <w:adjustRightInd w:val="0"/>
              <w:snapToGrid w:val="0"/>
              <w:jc w:val="center"/>
              <w:rPr>
                <w:sz w:val="21"/>
                <w:szCs w:val="21"/>
              </w:rPr>
            </w:pPr>
            <w:r>
              <w:rPr>
                <w:sz w:val="21"/>
                <w:szCs w:val="21"/>
              </w:rPr>
              <w:t>2000年以前</w:t>
            </w:r>
          </w:p>
        </w:tc>
        <w:tc>
          <w:tcPr>
            <w:tcW w:w="5956" w:type="dxa"/>
            <w:vAlign w:val="center"/>
          </w:tcPr>
          <w:p>
            <w:pPr>
              <w:adjustRightInd w:val="0"/>
              <w:snapToGrid w:val="0"/>
              <w:jc w:val="center"/>
              <w:rPr>
                <w:sz w:val="21"/>
                <w:szCs w:val="21"/>
              </w:rPr>
            </w:pPr>
            <w:r>
              <w:rPr>
                <w:sz w:val="21"/>
                <w:szCs w:val="21"/>
              </w:rPr>
              <w:t>地块所在区域为耕地，种植</w:t>
            </w:r>
            <w:r>
              <w:rPr>
                <w:rFonts w:hint="eastAsia"/>
                <w:sz w:val="21"/>
                <w:szCs w:val="21"/>
              </w:rPr>
              <w:t>水稻为主</w:t>
            </w: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1" w:type="dxa"/>
            <w:vAlign w:val="center"/>
          </w:tcPr>
          <w:p>
            <w:pPr>
              <w:adjustRightInd w:val="0"/>
              <w:snapToGrid w:val="0"/>
              <w:jc w:val="center"/>
              <w:rPr>
                <w:sz w:val="21"/>
                <w:szCs w:val="21"/>
              </w:rPr>
            </w:pPr>
            <w:r>
              <w:rPr>
                <w:sz w:val="21"/>
                <w:szCs w:val="21"/>
              </w:rPr>
              <w:t>2</w:t>
            </w:r>
          </w:p>
        </w:tc>
        <w:tc>
          <w:tcPr>
            <w:tcW w:w="2463" w:type="dxa"/>
            <w:vAlign w:val="center"/>
          </w:tcPr>
          <w:p>
            <w:pPr>
              <w:adjustRightInd w:val="0"/>
              <w:snapToGrid w:val="0"/>
              <w:jc w:val="center"/>
              <w:rPr>
                <w:sz w:val="21"/>
                <w:szCs w:val="21"/>
              </w:rPr>
            </w:pPr>
            <w:r>
              <w:rPr>
                <w:sz w:val="21"/>
                <w:szCs w:val="21"/>
              </w:rPr>
              <w:t>2011年</w:t>
            </w:r>
          </w:p>
        </w:tc>
        <w:tc>
          <w:tcPr>
            <w:tcW w:w="5956" w:type="dxa"/>
            <w:vAlign w:val="center"/>
          </w:tcPr>
          <w:p>
            <w:pPr>
              <w:adjustRightInd w:val="0"/>
              <w:snapToGrid w:val="0"/>
              <w:jc w:val="center"/>
              <w:rPr>
                <w:sz w:val="21"/>
                <w:szCs w:val="21"/>
              </w:rPr>
            </w:pPr>
            <w:r>
              <w:rPr>
                <w:rFonts w:hint="eastAsia"/>
                <w:sz w:val="21"/>
                <w:szCs w:val="21"/>
              </w:rPr>
              <w:t>地块内部分土地种植树木和时蔬，部分土地为荒地和池塘。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1" w:type="dxa"/>
            <w:vAlign w:val="center"/>
          </w:tcPr>
          <w:p>
            <w:pPr>
              <w:adjustRightInd w:val="0"/>
              <w:snapToGrid w:val="0"/>
              <w:jc w:val="center"/>
              <w:rPr>
                <w:sz w:val="21"/>
                <w:szCs w:val="21"/>
              </w:rPr>
            </w:pPr>
            <w:r>
              <w:rPr>
                <w:sz w:val="21"/>
                <w:szCs w:val="21"/>
              </w:rPr>
              <w:t>3</w:t>
            </w:r>
          </w:p>
        </w:tc>
        <w:tc>
          <w:tcPr>
            <w:tcW w:w="2463" w:type="dxa"/>
            <w:vAlign w:val="center"/>
          </w:tcPr>
          <w:p>
            <w:pPr>
              <w:adjustRightInd w:val="0"/>
              <w:snapToGrid w:val="0"/>
              <w:jc w:val="center"/>
              <w:rPr>
                <w:sz w:val="21"/>
                <w:szCs w:val="21"/>
              </w:rPr>
            </w:pPr>
            <w:r>
              <w:rPr>
                <w:sz w:val="21"/>
                <w:szCs w:val="21"/>
              </w:rPr>
              <w:t>2018年</w:t>
            </w:r>
          </w:p>
        </w:tc>
        <w:tc>
          <w:tcPr>
            <w:tcW w:w="5956" w:type="dxa"/>
            <w:vAlign w:val="center"/>
          </w:tcPr>
          <w:p>
            <w:pPr>
              <w:adjustRightInd w:val="0"/>
              <w:snapToGrid w:val="0"/>
              <w:jc w:val="center"/>
              <w:rPr>
                <w:sz w:val="21"/>
                <w:szCs w:val="21"/>
              </w:rPr>
            </w:pPr>
            <w:r>
              <w:rPr>
                <w:rFonts w:hint="eastAsia"/>
                <w:sz w:val="21"/>
                <w:szCs w:val="21"/>
              </w:rPr>
              <w:t>基本无变化。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1" w:type="dxa"/>
            <w:vAlign w:val="center"/>
          </w:tcPr>
          <w:p>
            <w:pPr>
              <w:adjustRightInd w:val="0"/>
              <w:snapToGrid w:val="0"/>
              <w:jc w:val="center"/>
              <w:rPr>
                <w:sz w:val="21"/>
                <w:szCs w:val="21"/>
              </w:rPr>
            </w:pPr>
            <w:r>
              <w:rPr>
                <w:sz w:val="21"/>
                <w:szCs w:val="21"/>
              </w:rPr>
              <w:t>4</w:t>
            </w:r>
          </w:p>
        </w:tc>
        <w:tc>
          <w:tcPr>
            <w:tcW w:w="2463" w:type="dxa"/>
            <w:vAlign w:val="center"/>
          </w:tcPr>
          <w:p>
            <w:pPr>
              <w:adjustRightInd w:val="0"/>
              <w:snapToGrid w:val="0"/>
              <w:jc w:val="center"/>
              <w:rPr>
                <w:sz w:val="21"/>
                <w:szCs w:val="21"/>
              </w:rPr>
            </w:pPr>
            <w:r>
              <w:rPr>
                <w:sz w:val="21"/>
                <w:szCs w:val="21"/>
              </w:rPr>
              <w:t>2022年</w:t>
            </w:r>
          </w:p>
        </w:tc>
        <w:tc>
          <w:tcPr>
            <w:tcW w:w="5956" w:type="dxa"/>
            <w:vAlign w:val="center"/>
          </w:tcPr>
          <w:p>
            <w:pPr>
              <w:adjustRightInd w:val="0"/>
              <w:snapToGrid w:val="0"/>
              <w:jc w:val="center"/>
              <w:rPr>
                <w:sz w:val="21"/>
                <w:szCs w:val="21"/>
              </w:rPr>
            </w:pPr>
            <w:r>
              <w:rPr>
                <w:rFonts w:hint="eastAsia"/>
                <w:sz w:val="21"/>
                <w:szCs w:val="21"/>
              </w:rPr>
              <w:t>基本无变化。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61" w:type="dxa"/>
            <w:vAlign w:val="center"/>
          </w:tcPr>
          <w:p>
            <w:pPr>
              <w:adjustRightInd w:val="0"/>
              <w:snapToGrid w:val="0"/>
              <w:jc w:val="center"/>
              <w:rPr>
                <w:sz w:val="21"/>
                <w:szCs w:val="21"/>
              </w:rPr>
            </w:pPr>
            <w:r>
              <w:rPr>
                <w:sz w:val="21"/>
                <w:szCs w:val="21"/>
              </w:rPr>
              <w:t>5</w:t>
            </w:r>
          </w:p>
        </w:tc>
        <w:tc>
          <w:tcPr>
            <w:tcW w:w="2463" w:type="dxa"/>
            <w:vAlign w:val="center"/>
          </w:tcPr>
          <w:p>
            <w:pPr>
              <w:adjustRightInd w:val="0"/>
              <w:snapToGrid w:val="0"/>
              <w:jc w:val="center"/>
              <w:rPr>
                <w:sz w:val="21"/>
                <w:szCs w:val="21"/>
              </w:rPr>
            </w:pPr>
            <w:r>
              <w:rPr>
                <w:sz w:val="21"/>
                <w:szCs w:val="21"/>
              </w:rPr>
              <w:t>2023年9月</w:t>
            </w:r>
          </w:p>
        </w:tc>
        <w:tc>
          <w:tcPr>
            <w:tcW w:w="5956" w:type="dxa"/>
            <w:vAlign w:val="center"/>
          </w:tcPr>
          <w:p>
            <w:pPr>
              <w:adjustRightInd w:val="0"/>
              <w:snapToGrid w:val="0"/>
              <w:jc w:val="center"/>
              <w:rPr>
                <w:sz w:val="21"/>
                <w:szCs w:val="21"/>
              </w:rPr>
            </w:pPr>
            <w:r>
              <w:rPr>
                <w:sz w:val="21"/>
                <w:szCs w:val="21"/>
              </w:rPr>
              <w:t>地块开始施工</w:t>
            </w:r>
            <w:r>
              <w:rPr>
                <w:rFonts w:hint="eastAsia"/>
                <w:sz w:val="21"/>
                <w:szCs w:val="21"/>
              </w:rPr>
              <w:t>平整</w:t>
            </w:r>
            <w:r>
              <w:rPr>
                <w:sz w:val="21"/>
                <w:szCs w:val="21"/>
              </w:rPr>
              <w:t>。</w:t>
            </w:r>
          </w:p>
        </w:tc>
      </w:tr>
    </w:tbl>
    <w:p>
      <w:pPr>
        <w:spacing w:line="440" w:lineRule="exact"/>
        <w:ind w:firstLine="480" w:firstLineChars="200"/>
        <w:rPr>
          <w:sz w:val="24"/>
          <w:szCs w:val="24"/>
        </w:rPr>
      </w:pPr>
      <w:bookmarkStart w:id="44" w:name="_Toc389229185"/>
      <w:r>
        <w:rPr>
          <w:sz w:val="24"/>
          <w:szCs w:val="24"/>
        </w:rPr>
        <w:t>根据调查，本地块原为农用地，被征收后一直未被开发利用，地块内不涉及生产型企业，地块内无建筑物，</w:t>
      </w:r>
      <w:r>
        <w:rPr>
          <w:rFonts w:hint="eastAsia"/>
          <w:sz w:val="24"/>
          <w:szCs w:val="24"/>
        </w:rPr>
        <w:t>基本</w:t>
      </w:r>
      <w:r>
        <w:rPr>
          <w:sz w:val="24"/>
          <w:szCs w:val="24"/>
        </w:rPr>
        <w:t>无地下管线及地下构筑物，</w:t>
      </w:r>
      <w:r>
        <w:rPr>
          <w:rFonts w:hint="eastAsia"/>
          <w:sz w:val="24"/>
          <w:szCs w:val="24"/>
        </w:rPr>
        <w:t>基本</w:t>
      </w:r>
      <w:r>
        <w:rPr>
          <w:sz w:val="24"/>
          <w:szCs w:val="24"/>
        </w:rPr>
        <w:t>无建筑垃圾和固体废物堆放和填埋</w:t>
      </w:r>
      <w:r>
        <w:rPr>
          <w:rFonts w:hint="eastAsia"/>
          <w:sz w:val="24"/>
          <w:szCs w:val="24"/>
        </w:rPr>
        <w:t>，基本不存在外来土填埋</w:t>
      </w:r>
      <w:r>
        <w:rPr>
          <w:sz w:val="24"/>
          <w:szCs w:val="24"/>
        </w:rPr>
        <w:t>。</w:t>
      </w:r>
    </w:p>
    <w:bookmarkEnd w:id="44"/>
    <w:p>
      <w:pPr>
        <w:pStyle w:val="116"/>
        <w:rPr>
          <w:rFonts w:ascii="Times New Roman" w:hAnsi="Times New Roman" w:eastAsia="宋体"/>
          <w:szCs w:val="28"/>
        </w:rPr>
      </w:pPr>
      <w:bookmarkStart w:id="45" w:name="_Toc149641978"/>
      <w:r>
        <w:rPr>
          <w:rFonts w:ascii="Times New Roman" w:hAnsi="Times New Roman" w:eastAsia="宋体"/>
          <w:szCs w:val="28"/>
        </w:rPr>
        <w:t>3.4 相邻地块的使用现状和历史</w:t>
      </w:r>
      <w:bookmarkEnd w:id="45"/>
    </w:p>
    <w:p>
      <w:pPr>
        <w:pStyle w:val="116"/>
        <w:outlineLvl w:val="2"/>
        <w:rPr>
          <w:rFonts w:ascii="Times New Roman" w:hAnsi="Times New Roman" w:eastAsia="宋体"/>
          <w:sz w:val="24"/>
        </w:rPr>
      </w:pPr>
      <w:bookmarkStart w:id="46" w:name="_Toc149641979"/>
      <w:r>
        <w:rPr>
          <w:rFonts w:ascii="Times New Roman" w:hAnsi="Times New Roman" w:eastAsia="宋体"/>
          <w:sz w:val="24"/>
        </w:rPr>
        <w:t xml:space="preserve">3.4.1 </w:t>
      </w:r>
      <w:r>
        <w:rPr>
          <w:rFonts w:ascii="Times New Roman" w:hAnsi="Times New Roman" w:eastAsia="宋体"/>
          <w:sz w:val="24"/>
          <w:szCs w:val="24"/>
        </w:rPr>
        <w:t>相邻地块</w:t>
      </w:r>
      <w:r>
        <w:rPr>
          <w:rFonts w:ascii="Times New Roman" w:hAnsi="Times New Roman" w:eastAsia="宋体"/>
          <w:sz w:val="24"/>
        </w:rPr>
        <w:t>使用现状概况</w:t>
      </w:r>
      <w:bookmarkEnd w:id="46"/>
    </w:p>
    <w:p>
      <w:pPr>
        <w:spacing w:line="440" w:lineRule="exact"/>
        <w:ind w:firstLine="480" w:firstLineChars="200"/>
        <w:rPr>
          <w:sz w:val="24"/>
          <w:szCs w:val="24"/>
        </w:rPr>
      </w:pPr>
      <w:r>
        <w:rPr>
          <w:sz w:val="24"/>
          <w:szCs w:val="24"/>
        </w:rPr>
        <w:t>目前，地块</w:t>
      </w:r>
      <w:r>
        <w:rPr>
          <w:rFonts w:hint="eastAsia"/>
          <w:sz w:val="24"/>
          <w:szCs w:val="24"/>
        </w:rPr>
        <w:t>相邻</w:t>
      </w:r>
      <w:r>
        <w:rPr>
          <w:sz w:val="24"/>
          <w:szCs w:val="24"/>
        </w:rPr>
        <w:t>东侧</w:t>
      </w:r>
      <w:r>
        <w:rPr>
          <w:rFonts w:hint="eastAsia"/>
          <w:sz w:val="24"/>
          <w:szCs w:val="24"/>
        </w:rPr>
        <w:t>以耕地为主</w:t>
      </w:r>
      <w:r>
        <w:rPr>
          <w:sz w:val="24"/>
          <w:szCs w:val="24"/>
        </w:rPr>
        <w:t>，相邻南侧</w:t>
      </w:r>
      <w:r>
        <w:rPr>
          <w:rFonts w:hint="eastAsia"/>
          <w:sz w:val="24"/>
          <w:szCs w:val="24"/>
        </w:rPr>
        <w:t>和西侧</w:t>
      </w:r>
      <w:r>
        <w:rPr>
          <w:sz w:val="24"/>
          <w:szCs w:val="24"/>
        </w:rPr>
        <w:t>为</w:t>
      </w:r>
      <w:r>
        <w:rPr>
          <w:rFonts w:hint="eastAsia"/>
          <w:sz w:val="24"/>
          <w:szCs w:val="24"/>
        </w:rPr>
        <w:t>荒地为主，相邻北侧以耕地和池塘为主</w:t>
      </w:r>
      <w:r>
        <w:rPr>
          <w:sz w:val="24"/>
          <w:szCs w:val="24"/>
        </w:rPr>
        <w:t>。</w:t>
      </w:r>
    </w:p>
    <w:p>
      <w:pPr>
        <w:numPr>
          <w:ilvl w:val="0"/>
          <w:numId w:val="8"/>
        </w:numPr>
        <w:spacing w:line="460" w:lineRule="exact"/>
        <w:jc w:val="center"/>
        <w:rPr>
          <w:b/>
          <w:sz w:val="24"/>
          <w:szCs w:val="24"/>
        </w:rPr>
      </w:pPr>
      <w:r>
        <w:rPr>
          <w:b/>
          <w:sz w:val="24"/>
          <w:szCs w:val="24"/>
        </w:rPr>
        <w:t xml:space="preserve">  地块周边环境现状一览表</w:t>
      </w:r>
    </w:p>
    <w:tbl>
      <w:tblPr>
        <w:tblStyle w:val="36"/>
        <w:tblW w:w="9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2"/>
        <w:gridCol w:w="5389"/>
        <w:gridCol w:w="1275"/>
        <w:gridCol w:w="1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12" w:type="dxa"/>
            <w:vAlign w:val="center"/>
          </w:tcPr>
          <w:p>
            <w:pPr>
              <w:jc w:val="center"/>
              <w:rPr>
                <w:sz w:val="21"/>
                <w:szCs w:val="21"/>
              </w:rPr>
            </w:pPr>
            <w:r>
              <w:rPr>
                <w:sz w:val="21"/>
                <w:szCs w:val="21"/>
              </w:rPr>
              <w:t>方位</w:t>
            </w:r>
          </w:p>
        </w:tc>
        <w:tc>
          <w:tcPr>
            <w:tcW w:w="5389" w:type="dxa"/>
            <w:vAlign w:val="center"/>
          </w:tcPr>
          <w:p>
            <w:pPr>
              <w:jc w:val="center"/>
              <w:rPr>
                <w:sz w:val="21"/>
                <w:szCs w:val="21"/>
              </w:rPr>
            </w:pPr>
            <w:r>
              <w:rPr>
                <w:sz w:val="21"/>
                <w:szCs w:val="21"/>
              </w:rPr>
              <w:t>现状情况</w:t>
            </w:r>
          </w:p>
        </w:tc>
        <w:tc>
          <w:tcPr>
            <w:tcW w:w="1275" w:type="dxa"/>
            <w:vAlign w:val="center"/>
          </w:tcPr>
          <w:p>
            <w:pPr>
              <w:jc w:val="center"/>
              <w:rPr>
                <w:sz w:val="21"/>
                <w:szCs w:val="21"/>
              </w:rPr>
            </w:pPr>
            <w:r>
              <w:rPr>
                <w:sz w:val="21"/>
                <w:szCs w:val="21"/>
              </w:rPr>
              <w:t>距离</w:t>
            </w:r>
          </w:p>
        </w:tc>
        <w:tc>
          <w:tcPr>
            <w:tcW w:w="1704" w:type="dxa"/>
            <w:vAlign w:val="center"/>
          </w:tcPr>
          <w:p>
            <w:pPr>
              <w:jc w:val="center"/>
              <w:rPr>
                <w:sz w:val="21"/>
                <w:szCs w:val="21"/>
              </w:rPr>
            </w:pPr>
            <w:r>
              <w:rPr>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12" w:type="dxa"/>
            <w:vMerge w:val="restart"/>
            <w:vAlign w:val="center"/>
          </w:tcPr>
          <w:p>
            <w:pPr>
              <w:jc w:val="center"/>
              <w:rPr>
                <w:sz w:val="21"/>
                <w:szCs w:val="21"/>
              </w:rPr>
            </w:pPr>
            <w:r>
              <w:rPr>
                <w:sz w:val="21"/>
                <w:szCs w:val="21"/>
              </w:rPr>
              <w:t>东侧</w:t>
            </w:r>
          </w:p>
        </w:tc>
        <w:tc>
          <w:tcPr>
            <w:tcW w:w="5389" w:type="dxa"/>
            <w:vAlign w:val="center"/>
          </w:tcPr>
          <w:p>
            <w:pPr>
              <w:jc w:val="center"/>
              <w:rPr>
                <w:sz w:val="21"/>
                <w:szCs w:val="21"/>
              </w:rPr>
            </w:pPr>
            <w:r>
              <w:rPr>
                <w:rFonts w:hint="eastAsia"/>
                <w:sz w:val="21"/>
                <w:szCs w:val="21"/>
              </w:rPr>
              <w:t>耕地</w:t>
            </w:r>
          </w:p>
        </w:tc>
        <w:tc>
          <w:tcPr>
            <w:tcW w:w="1275" w:type="dxa"/>
            <w:vAlign w:val="center"/>
          </w:tcPr>
          <w:p>
            <w:pPr>
              <w:jc w:val="center"/>
              <w:rPr>
                <w:sz w:val="21"/>
                <w:szCs w:val="21"/>
              </w:rPr>
            </w:pPr>
            <w:r>
              <w:rPr>
                <w:sz w:val="21"/>
                <w:szCs w:val="21"/>
              </w:rPr>
              <w:t>紧邻</w:t>
            </w:r>
          </w:p>
        </w:tc>
        <w:tc>
          <w:tcPr>
            <w:tcW w:w="1704" w:type="dxa"/>
            <w:vAlign w:val="center"/>
          </w:tcPr>
          <w:p>
            <w:pPr>
              <w:jc w:val="center"/>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12" w:type="dxa"/>
            <w:vMerge w:val="continue"/>
            <w:vAlign w:val="center"/>
          </w:tcPr>
          <w:p>
            <w:pPr>
              <w:jc w:val="center"/>
              <w:rPr>
                <w:sz w:val="21"/>
                <w:szCs w:val="21"/>
              </w:rPr>
            </w:pPr>
          </w:p>
        </w:tc>
        <w:tc>
          <w:tcPr>
            <w:tcW w:w="5389" w:type="dxa"/>
            <w:vAlign w:val="center"/>
          </w:tcPr>
          <w:p>
            <w:pPr>
              <w:jc w:val="center"/>
              <w:rPr>
                <w:sz w:val="21"/>
                <w:szCs w:val="21"/>
              </w:rPr>
            </w:pPr>
            <w:r>
              <w:rPr>
                <w:rFonts w:hint="eastAsia"/>
                <w:sz w:val="21"/>
                <w:szCs w:val="21"/>
              </w:rPr>
              <w:t>东俞村</w:t>
            </w:r>
          </w:p>
        </w:tc>
        <w:tc>
          <w:tcPr>
            <w:tcW w:w="1275" w:type="dxa"/>
            <w:vAlign w:val="center"/>
          </w:tcPr>
          <w:p>
            <w:pPr>
              <w:jc w:val="center"/>
              <w:rPr>
                <w:sz w:val="21"/>
                <w:szCs w:val="21"/>
              </w:rPr>
            </w:pPr>
            <w:r>
              <w:rPr>
                <w:sz w:val="21"/>
                <w:szCs w:val="21"/>
              </w:rPr>
              <w:t>约50m</w:t>
            </w:r>
          </w:p>
        </w:tc>
        <w:tc>
          <w:tcPr>
            <w:tcW w:w="1704" w:type="dxa"/>
            <w:vAlign w:val="center"/>
          </w:tcPr>
          <w:p>
            <w:pPr>
              <w:jc w:val="center"/>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12" w:type="dxa"/>
            <w:vMerge w:val="restart"/>
            <w:vAlign w:val="center"/>
          </w:tcPr>
          <w:p>
            <w:pPr>
              <w:jc w:val="center"/>
              <w:rPr>
                <w:sz w:val="21"/>
                <w:szCs w:val="21"/>
              </w:rPr>
            </w:pPr>
            <w:r>
              <w:rPr>
                <w:sz w:val="21"/>
                <w:szCs w:val="21"/>
              </w:rPr>
              <w:t>南侧</w:t>
            </w:r>
          </w:p>
        </w:tc>
        <w:tc>
          <w:tcPr>
            <w:tcW w:w="5389" w:type="dxa"/>
            <w:vAlign w:val="center"/>
          </w:tcPr>
          <w:p>
            <w:pPr>
              <w:jc w:val="center"/>
              <w:rPr>
                <w:sz w:val="21"/>
                <w:szCs w:val="21"/>
              </w:rPr>
            </w:pPr>
            <w:r>
              <w:rPr>
                <w:rFonts w:hint="eastAsia"/>
                <w:sz w:val="21"/>
                <w:szCs w:val="21"/>
              </w:rPr>
              <w:t>荒地</w:t>
            </w:r>
          </w:p>
        </w:tc>
        <w:tc>
          <w:tcPr>
            <w:tcW w:w="1275" w:type="dxa"/>
            <w:vAlign w:val="center"/>
          </w:tcPr>
          <w:p>
            <w:pPr>
              <w:jc w:val="center"/>
              <w:rPr>
                <w:sz w:val="21"/>
                <w:szCs w:val="21"/>
              </w:rPr>
            </w:pPr>
            <w:r>
              <w:rPr>
                <w:sz w:val="21"/>
                <w:szCs w:val="21"/>
              </w:rPr>
              <w:t>紧邻</w:t>
            </w:r>
          </w:p>
        </w:tc>
        <w:tc>
          <w:tcPr>
            <w:tcW w:w="1704" w:type="dxa"/>
            <w:vAlign w:val="center"/>
          </w:tcPr>
          <w:p>
            <w:pPr>
              <w:jc w:val="center"/>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12" w:type="dxa"/>
            <w:vMerge w:val="continue"/>
            <w:vAlign w:val="center"/>
          </w:tcPr>
          <w:p>
            <w:pPr>
              <w:jc w:val="center"/>
              <w:rPr>
                <w:sz w:val="21"/>
                <w:szCs w:val="21"/>
              </w:rPr>
            </w:pPr>
          </w:p>
        </w:tc>
        <w:tc>
          <w:tcPr>
            <w:tcW w:w="5389" w:type="dxa"/>
            <w:vAlign w:val="center"/>
          </w:tcPr>
          <w:p>
            <w:pPr>
              <w:jc w:val="center"/>
              <w:rPr>
                <w:sz w:val="21"/>
                <w:szCs w:val="21"/>
              </w:rPr>
            </w:pPr>
            <w:r>
              <w:rPr>
                <w:rFonts w:hint="eastAsia"/>
                <w:sz w:val="21"/>
                <w:szCs w:val="21"/>
              </w:rPr>
              <w:t>临江东路</w:t>
            </w:r>
          </w:p>
        </w:tc>
        <w:tc>
          <w:tcPr>
            <w:tcW w:w="1275" w:type="dxa"/>
            <w:vAlign w:val="center"/>
          </w:tcPr>
          <w:p>
            <w:pPr>
              <w:jc w:val="center"/>
              <w:rPr>
                <w:sz w:val="21"/>
                <w:szCs w:val="21"/>
              </w:rPr>
            </w:pPr>
            <w:r>
              <w:rPr>
                <w:sz w:val="21"/>
                <w:szCs w:val="21"/>
              </w:rPr>
              <w:t>约230m</w:t>
            </w:r>
          </w:p>
        </w:tc>
        <w:tc>
          <w:tcPr>
            <w:tcW w:w="1704" w:type="dxa"/>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12" w:type="dxa"/>
            <w:vMerge w:val="restart"/>
            <w:vAlign w:val="center"/>
          </w:tcPr>
          <w:p>
            <w:pPr>
              <w:jc w:val="center"/>
              <w:rPr>
                <w:sz w:val="21"/>
                <w:szCs w:val="21"/>
              </w:rPr>
            </w:pPr>
            <w:r>
              <w:rPr>
                <w:sz w:val="21"/>
                <w:szCs w:val="21"/>
              </w:rPr>
              <w:t>西侧</w:t>
            </w:r>
          </w:p>
        </w:tc>
        <w:tc>
          <w:tcPr>
            <w:tcW w:w="5389" w:type="dxa"/>
            <w:vAlign w:val="center"/>
          </w:tcPr>
          <w:p>
            <w:pPr>
              <w:jc w:val="center"/>
              <w:rPr>
                <w:sz w:val="21"/>
                <w:szCs w:val="21"/>
              </w:rPr>
            </w:pPr>
            <w:r>
              <w:rPr>
                <w:rFonts w:hint="eastAsia"/>
                <w:sz w:val="21"/>
                <w:szCs w:val="21"/>
              </w:rPr>
              <w:t>荒地</w:t>
            </w:r>
          </w:p>
        </w:tc>
        <w:tc>
          <w:tcPr>
            <w:tcW w:w="1275" w:type="dxa"/>
            <w:vAlign w:val="center"/>
          </w:tcPr>
          <w:p>
            <w:pPr>
              <w:jc w:val="center"/>
              <w:rPr>
                <w:sz w:val="21"/>
                <w:szCs w:val="21"/>
              </w:rPr>
            </w:pPr>
            <w:r>
              <w:rPr>
                <w:sz w:val="21"/>
                <w:szCs w:val="21"/>
              </w:rPr>
              <w:t>紧邻</w:t>
            </w:r>
          </w:p>
        </w:tc>
        <w:tc>
          <w:tcPr>
            <w:tcW w:w="1704" w:type="dxa"/>
            <w:vAlign w:val="center"/>
          </w:tcPr>
          <w:p>
            <w:pPr>
              <w:jc w:val="center"/>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12" w:type="dxa"/>
            <w:vMerge w:val="continue"/>
            <w:vAlign w:val="center"/>
          </w:tcPr>
          <w:p>
            <w:pPr>
              <w:jc w:val="center"/>
              <w:rPr>
                <w:sz w:val="21"/>
                <w:szCs w:val="21"/>
              </w:rPr>
            </w:pPr>
          </w:p>
        </w:tc>
        <w:tc>
          <w:tcPr>
            <w:tcW w:w="5389" w:type="dxa"/>
            <w:vAlign w:val="center"/>
          </w:tcPr>
          <w:p>
            <w:pPr>
              <w:jc w:val="center"/>
              <w:rPr>
                <w:sz w:val="21"/>
                <w:szCs w:val="21"/>
              </w:rPr>
            </w:pPr>
            <w:r>
              <w:rPr>
                <w:rFonts w:hint="eastAsia"/>
                <w:sz w:val="21"/>
                <w:szCs w:val="21"/>
              </w:rPr>
              <w:t>白沙溪</w:t>
            </w:r>
          </w:p>
        </w:tc>
        <w:tc>
          <w:tcPr>
            <w:tcW w:w="1275" w:type="dxa"/>
            <w:vAlign w:val="center"/>
          </w:tcPr>
          <w:p>
            <w:pPr>
              <w:jc w:val="center"/>
              <w:rPr>
                <w:sz w:val="21"/>
                <w:szCs w:val="21"/>
              </w:rPr>
            </w:pPr>
            <w:r>
              <w:rPr>
                <w:sz w:val="21"/>
                <w:szCs w:val="21"/>
              </w:rPr>
              <w:t>约100m</w:t>
            </w:r>
          </w:p>
        </w:tc>
        <w:tc>
          <w:tcPr>
            <w:tcW w:w="1704" w:type="dxa"/>
            <w:vAlign w:val="center"/>
          </w:tcPr>
          <w:p>
            <w:pPr>
              <w:jc w:val="center"/>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12" w:type="dxa"/>
            <w:vAlign w:val="center"/>
          </w:tcPr>
          <w:p>
            <w:pPr>
              <w:jc w:val="center"/>
              <w:rPr>
                <w:sz w:val="21"/>
                <w:szCs w:val="21"/>
              </w:rPr>
            </w:pPr>
            <w:r>
              <w:rPr>
                <w:sz w:val="21"/>
                <w:szCs w:val="21"/>
              </w:rPr>
              <w:t>北侧</w:t>
            </w:r>
          </w:p>
        </w:tc>
        <w:tc>
          <w:tcPr>
            <w:tcW w:w="5389" w:type="dxa"/>
            <w:vAlign w:val="center"/>
          </w:tcPr>
          <w:p>
            <w:pPr>
              <w:jc w:val="center"/>
              <w:rPr>
                <w:sz w:val="21"/>
                <w:szCs w:val="21"/>
              </w:rPr>
            </w:pPr>
            <w:r>
              <w:rPr>
                <w:rFonts w:hint="eastAsia"/>
                <w:sz w:val="21"/>
                <w:szCs w:val="21"/>
              </w:rPr>
              <w:t>耕地和池塘</w:t>
            </w:r>
          </w:p>
        </w:tc>
        <w:tc>
          <w:tcPr>
            <w:tcW w:w="1275" w:type="dxa"/>
            <w:vAlign w:val="center"/>
          </w:tcPr>
          <w:p>
            <w:pPr>
              <w:jc w:val="center"/>
              <w:rPr>
                <w:sz w:val="21"/>
                <w:szCs w:val="21"/>
              </w:rPr>
            </w:pPr>
            <w:r>
              <w:rPr>
                <w:sz w:val="21"/>
                <w:szCs w:val="21"/>
              </w:rPr>
              <w:t>紧邻</w:t>
            </w:r>
          </w:p>
        </w:tc>
        <w:tc>
          <w:tcPr>
            <w:tcW w:w="1704" w:type="dxa"/>
            <w:vAlign w:val="center"/>
          </w:tcPr>
          <w:p>
            <w:pPr>
              <w:jc w:val="center"/>
              <w:rPr>
                <w:sz w:val="21"/>
                <w:szCs w:val="21"/>
              </w:rPr>
            </w:pPr>
            <w:r>
              <w:rPr>
                <w:sz w:val="21"/>
                <w:szCs w:val="21"/>
              </w:rPr>
              <w:t>/</w:t>
            </w:r>
          </w:p>
        </w:tc>
      </w:tr>
    </w:tbl>
    <w:p>
      <w:pPr>
        <w:spacing w:line="440" w:lineRule="exact"/>
        <w:ind w:firstLine="480" w:firstLineChars="200"/>
        <w:rPr>
          <w:sz w:val="24"/>
          <w:szCs w:val="24"/>
        </w:rPr>
      </w:pPr>
      <w:r>
        <w:rPr>
          <w:sz w:val="24"/>
          <w:szCs w:val="24"/>
        </w:rPr>
        <w:t>本次调查地块周边环境现状见图3.4-1。</w:t>
      </w:r>
    </w:p>
    <w:p>
      <w:pPr>
        <w:spacing w:line="360" w:lineRule="auto"/>
        <w:jc w:val="center"/>
      </w:pPr>
      <w:r>
        <w:drawing>
          <wp:inline distT="0" distB="0" distL="0" distR="0">
            <wp:extent cx="5759450" cy="4072255"/>
            <wp:effectExtent l="0" t="0" r="12700" b="4445"/>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28"/>
                    <a:stretch>
                      <a:fillRect/>
                    </a:stretch>
                  </pic:blipFill>
                  <pic:spPr>
                    <a:xfrm>
                      <a:off x="0" y="0"/>
                      <a:ext cx="5759450" cy="4072255"/>
                    </a:xfrm>
                    <a:prstGeom prst="rect">
                      <a:avLst/>
                    </a:prstGeom>
                  </pic:spPr>
                </pic:pic>
              </a:graphicData>
            </a:graphic>
          </wp:inline>
        </w:drawing>
      </w:r>
    </w:p>
    <w:p>
      <w:pPr>
        <w:numPr>
          <w:ilvl w:val="0"/>
          <w:numId w:val="9"/>
        </w:numPr>
        <w:spacing w:line="440" w:lineRule="exact"/>
        <w:jc w:val="center"/>
        <w:rPr>
          <w:b/>
          <w:sz w:val="24"/>
          <w:szCs w:val="24"/>
        </w:rPr>
      </w:pPr>
      <w:r>
        <w:rPr>
          <w:b/>
          <w:sz w:val="24"/>
        </w:rPr>
        <w:t xml:space="preserve">  </w:t>
      </w:r>
      <w:r>
        <w:rPr>
          <w:b/>
          <w:sz w:val="24"/>
          <w:szCs w:val="24"/>
        </w:rPr>
        <w:t>地块周边环境现状分布图</w:t>
      </w:r>
    </w:p>
    <w:p>
      <w:pPr>
        <w:pStyle w:val="116"/>
        <w:outlineLvl w:val="2"/>
        <w:rPr>
          <w:rFonts w:ascii="Times New Roman" w:hAnsi="Times New Roman" w:eastAsia="宋体"/>
          <w:sz w:val="24"/>
        </w:rPr>
      </w:pPr>
      <w:bookmarkStart w:id="47" w:name="_Toc149641980"/>
      <w:r>
        <w:rPr>
          <w:rFonts w:ascii="Times New Roman" w:hAnsi="Times New Roman" w:eastAsia="宋体"/>
          <w:sz w:val="24"/>
        </w:rPr>
        <w:t>3.4.2 相邻</w:t>
      </w:r>
      <w:r>
        <w:rPr>
          <w:rFonts w:ascii="Times New Roman" w:hAnsi="Times New Roman" w:eastAsia="宋体"/>
          <w:sz w:val="24"/>
          <w:szCs w:val="24"/>
        </w:rPr>
        <w:t>地块</w:t>
      </w:r>
      <w:r>
        <w:rPr>
          <w:rFonts w:ascii="Times New Roman" w:hAnsi="Times New Roman" w:eastAsia="宋体"/>
          <w:sz w:val="24"/>
        </w:rPr>
        <w:t>历史使用情况回顾</w:t>
      </w:r>
      <w:bookmarkEnd w:id="47"/>
    </w:p>
    <w:p>
      <w:pPr>
        <w:spacing w:line="440" w:lineRule="exact"/>
        <w:ind w:firstLine="480" w:firstLineChars="200"/>
        <w:rPr>
          <w:sz w:val="24"/>
          <w:szCs w:val="24"/>
        </w:rPr>
      </w:pPr>
      <w:r>
        <w:rPr>
          <w:sz w:val="24"/>
          <w:szCs w:val="24"/>
        </w:rPr>
        <w:t>相邻地块现状主要是</w:t>
      </w:r>
      <w:r>
        <w:rPr>
          <w:rFonts w:hint="eastAsia"/>
          <w:sz w:val="24"/>
          <w:szCs w:val="24"/>
        </w:rPr>
        <w:t>耕地、荒地和池塘</w:t>
      </w:r>
      <w:r>
        <w:rPr>
          <w:sz w:val="24"/>
          <w:szCs w:val="24"/>
        </w:rPr>
        <w:t>，相邻地块历史主要是耕地、荒地和池塘。</w:t>
      </w:r>
      <w:r>
        <w:rPr>
          <w:rFonts w:hint="eastAsia"/>
          <w:sz w:val="24"/>
          <w:szCs w:val="24"/>
        </w:rPr>
        <w:t>周边</w:t>
      </w:r>
      <w:r>
        <w:rPr>
          <w:sz w:val="24"/>
          <w:szCs w:val="24"/>
        </w:rPr>
        <w:t>地块100m</w:t>
      </w:r>
      <w:r>
        <w:rPr>
          <w:rFonts w:hint="eastAsia"/>
          <w:sz w:val="24"/>
          <w:szCs w:val="24"/>
        </w:rPr>
        <w:t>范围内无</w:t>
      </w:r>
      <w:r>
        <w:rPr>
          <w:sz w:val="24"/>
          <w:szCs w:val="24"/>
        </w:rPr>
        <w:t>工业企业</w:t>
      </w:r>
      <w:r>
        <w:rPr>
          <w:rFonts w:hint="eastAsia"/>
          <w:sz w:val="24"/>
          <w:szCs w:val="24"/>
        </w:rPr>
        <w:t>，1k</w:t>
      </w:r>
      <w:r>
        <w:rPr>
          <w:sz w:val="24"/>
          <w:szCs w:val="24"/>
        </w:rPr>
        <w:t>m</w:t>
      </w:r>
      <w:r>
        <w:rPr>
          <w:rFonts w:hint="eastAsia"/>
          <w:sz w:val="24"/>
          <w:szCs w:val="24"/>
        </w:rPr>
        <w:t>范围内无重污染</w:t>
      </w:r>
      <w:r>
        <w:rPr>
          <w:sz w:val="24"/>
          <w:szCs w:val="24"/>
        </w:rPr>
        <w:t>工业企业。</w:t>
      </w:r>
    </w:p>
    <w:p>
      <w:pPr>
        <w:pStyle w:val="116"/>
        <w:rPr>
          <w:rFonts w:ascii="Times New Roman" w:hAnsi="Times New Roman" w:eastAsia="宋体"/>
          <w:szCs w:val="28"/>
        </w:rPr>
      </w:pPr>
      <w:bookmarkStart w:id="48" w:name="_Toc149641981"/>
      <w:r>
        <w:rPr>
          <w:rFonts w:ascii="Times New Roman" w:hAnsi="Times New Roman" w:eastAsia="宋体"/>
          <w:szCs w:val="28"/>
        </w:rPr>
        <w:t>3.5 地块利用的规划</w:t>
      </w:r>
      <w:bookmarkEnd w:id="48"/>
    </w:p>
    <w:p>
      <w:pPr>
        <w:spacing w:line="440" w:lineRule="exact"/>
        <w:ind w:firstLine="480" w:firstLineChars="200"/>
        <w:rPr>
          <w:sz w:val="24"/>
          <w:szCs w:val="24"/>
        </w:rPr>
      </w:pPr>
      <w:r>
        <w:rPr>
          <w:sz w:val="24"/>
          <w:szCs w:val="24"/>
        </w:rPr>
        <w:t>根据</w:t>
      </w:r>
      <w:r>
        <w:rPr>
          <w:rFonts w:hint="eastAsia"/>
          <w:sz w:val="24"/>
          <w:szCs w:val="24"/>
        </w:rPr>
        <w:t>《金华市婺城区婺城新区单元(ZX-15-01-19)地块规划条件书》(金自然资规条330703202300044号)，地块规划为二类</w:t>
      </w:r>
      <w:r>
        <w:rPr>
          <w:sz w:val="24"/>
          <w:szCs w:val="24"/>
        </w:rPr>
        <w:t>居住用地(R2)</w:t>
      </w:r>
      <w:r>
        <w:rPr>
          <w:rFonts w:hint="eastAsia"/>
          <w:sz w:val="24"/>
          <w:szCs w:val="24"/>
        </w:rPr>
        <w:t>和地下人民防空设施(UG25)</w:t>
      </w:r>
      <w:r>
        <w:rPr>
          <w:sz w:val="24"/>
          <w:szCs w:val="24"/>
        </w:rPr>
        <w:t>。</w:t>
      </w:r>
    </w:p>
    <w:tbl>
      <w:tblPr>
        <w:tblStyle w:val="26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0"/>
        <w:gridCol w:w="4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30" w:type="dxa"/>
            <w:vAlign w:val="center"/>
          </w:tcPr>
          <w:p>
            <w:pPr>
              <w:pStyle w:val="2"/>
              <w:jc w:val="center"/>
              <w:rPr>
                <w:rFonts w:ascii="Times New Roman" w:hAnsi="Times New Roman" w:eastAsia="Times New Roman"/>
              </w:rPr>
            </w:pPr>
            <w:r>
              <w:rPr>
                <w:rFonts w:ascii="Times New Roman" w:hAnsi="Times New Roman" w:eastAsia="Times New Roman"/>
              </w:rPr>
              <w:drawing>
                <wp:inline distT="0" distB="0" distL="0" distR="0">
                  <wp:extent cx="2739390" cy="3877310"/>
                  <wp:effectExtent l="0" t="0" r="381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9"/>
                          <a:srcRect/>
                          <a:stretch>
                            <a:fillRect/>
                          </a:stretch>
                        </pic:blipFill>
                        <pic:spPr>
                          <a:xfrm>
                            <a:off x="0" y="0"/>
                            <a:ext cx="2739390" cy="3877310"/>
                          </a:xfrm>
                          <a:prstGeom prst="rect">
                            <a:avLst/>
                          </a:prstGeom>
                          <a:noFill/>
                          <a:ln>
                            <a:noFill/>
                          </a:ln>
                        </pic:spPr>
                      </pic:pic>
                    </a:graphicData>
                  </a:graphic>
                </wp:inline>
              </w:drawing>
            </w:r>
          </w:p>
        </w:tc>
        <w:tc>
          <w:tcPr>
            <w:tcW w:w="4530" w:type="dxa"/>
            <w:vAlign w:val="center"/>
          </w:tcPr>
          <w:p>
            <w:pPr>
              <w:pStyle w:val="2"/>
              <w:jc w:val="center"/>
              <w:rPr>
                <w:rFonts w:ascii="Times New Roman" w:hAnsi="Times New Roman" w:eastAsia="Times New Roman"/>
              </w:rPr>
            </w:pPr>
            <w:r>
              <w:rPr>
                <w:rFonts w:ascii="Times New Roman" w:hAnsi="Times New Roman" w:eastAsia="Times New Roman"/>
              </w:rPr>
              <w:drawing>
                <wp:inline distT="0" distB="0" distL="0" distR="0">
                  <wp:extent cx="2739390" cy="3877310"/>
                  <wp:effectExtent l="0" t="0" r="381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0"/>
                          <a:srcRect/>
                          <a:stretch>
                            <a:fillRect/>
                          </a:stretch>
                        </pic:blipFill>
                        <pic:spPr>
                          <a:xfrm>
                            <a:off x="0" y="0"/>
                            <a:ext cx="2739390" cy="38773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30" w:type="dxa"/>
            <w:vAlign w:val="center"/>
          </w:tcPr>
          <w:p>
            <w:pPr>
              <w:pStyle w:val="2"/>
              <w:jc w:val="center"/>
              <w:rPr>
                <w:rFonts w:ascii="Times New Roman" w:hAnsi="Times New Roman" w:eastAsia="Times New Roman"/>
              </w:rPr>
            </w:pPr>
            <w:bookmarkStart w:id="75" w:name="_GoBack"/>
            <w:bookmarkEnd w:id="75"/>
            <w:r>
              <w:rPr>
                <w:rFonts w:ascii="Times New Roman" w:hAnsi="Times New Roman" w:eastAsia="Times New Roman"/>
              </w:rPr>
              <w:drawing>
                <wp:inline distT="0" distB="0" distL="0" distR="0">
                  <wp:extent cx="2739390" cy="3877310"/>
                  <wp:effectExtent l="0" t="0" r="3810" b="889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noChangeArrowheads="1"/>
                          </pic:cNvPicPr>
                        </pic:nvPicPr>
                        <pic:blipFill>
                          <a:blip r:embed="rId31"/>
                          <a:srcRect/>
                          <a:stretch>
                            <a:fillRect/>
                          </a:stretch>
                        </pic:blipFill>
                        <pic:spPr>
                          <a:xfrm>
                            <a:off x="0" y="0"/>
                            <a:ext cx="2739390" cy="3877310"/>
                          </a:xfrm>
                          <a:prstGeom prst="rect">
                            <a:avLst/>
                          </a:prstGeom>
                          <a:noFill/>
                          <a:ln>
                            <a:noFill/>
                          </a:ln>
                        </pic:spPr>
                      </pic:pic>
                    </a:graphicData>
                  </a:graphic>
                </wp:inline>
              </w:drawing>
            </w:r>
          </w:p>
        </w:tc>
        <w:tc>
          <w:tcPr>
            <w:tcW w:w="4530" w:type="dxa"/>
            <w:vAlign w:val="center"/>
          </w:tcPr>
          <w:p>
            <w:pPr>
              <w:pStyle w:val="2"/>
              <w:jc w:val="center"/>
              <w:rPr>
                <w:rFonts w:ascii="Times New Roman" w:hAnsi="Times New Roman" w:eastAsia="Times New Roman"/>
              </w:rPr>
            </w:pPr>
          </w:p>
        </w:tc>
      </w:tr>
    </w:tbl>
    <w:p>
      <w:pPr>
        <w:jc w:val="center"/>
        <w:rPr>
          <w:sz w:val="24"/>
          <w:szCs w:val="24"/>
        </w:rPr>
      </w:pPr>
      <w:r>
        <w:rPr>
          <w:rFonts w:hint="eastAsia"/>
          <w:b/>
          <w:bCs/>
          <w:sz w:val="24"/>
          <w:szCs w:val="24"/>
        </w:rPr>
        <w:t>图3.</w:t>
      </w:r>
      <w:r>
        <w:rPr>
          <w:b/>
          <w:bCs/>
          <w:sz w:val="24"/>
          <w:szCs w:val="24"/>
        </w:rPr>
        <w:t>5</w:t>
      </w:r>
      <w:r>
        <w:rPr>
          <w:rFonts w:hint="eastAsia"/>
          <w:b/>
          <w:bCs/>
          <w:sz w:val="24"/>
          <w:szCs w:val="24"/>
        </w:rPr>
        <w:t xml:space="preserve">-1 </w:t>
      </w:r>
      <w:r>
        <w:rPr>
          <w:b/>
          <w:bCs/>
          <w:sz w:val="24"/>
          <w:szCs w:val="24"/>
        </w:rPr>
        <w:t xml:space="preserve"> </w:t>
      </w:r>
      <w:r>
        <w:rPr>
          <w:rFonts w:hint="eastAsia"/>
          <w:b/>
          <w:bCs/>
          <w:sz w:val="24"/>
          <w:szCs w:val="24"/>
        </w:rPr>
        <w:t>金华市婺城区婺城新区单元(ZX-15-01-19)地块规划条件书</w:t>
      </w:r>
    </w:p>
    <w:p>
      <w:pPr>
        <w:spacing w:line="360" w:lineRule="auto"/>
        <w:jc w:val="center"/>
        <w:sectPr>
          <w:pgSz w:w="11906" w:h="16838"/>
          <w:pgMar w:top="1418" w:right="1418" w:bottom="1418" w:left="1418" w:header="850" w:footer="850" w:gutter="0"/>
          <w:pgNumType w:fmt="numberInDash"/>
          <w:cols w:space="720" w:num="1"/>
          <w:docGrid w:type="lines" w:linePitch="312" w:charSpace="0"/>
        </w:sectPr>
      </w:pPr>
    </w:p>
    <w:p>
      <w:pPr>
        <w:pStyle w:val="3"/>
        <w:spacing w:before="0" w:after="0" w:line="440" w:lineRule="exact"/>
        <w:jc w:val="left"/>
        <w:rPr>
          <w:rFonts w:ascii="Times New Roman" w:hAnsi="Times New Roman"/>
          <w:bCs w:val="0"/>
          <w:kern w:val="2"/>
          <w:sz w:val="32"/>
          <w:szCs w:val="32"/>
        </w:rPr>
      </w:pPr>
      <w:bookmarkStart w:id="49" w:name="_Toc149641982"/>
      <w:r>
        <w:rPr>
          <w:rFonts w:ascii="Times New Roman" w:hAnsi="Times New Roman"/>
          <w:bCs w:val="0"/>
          <w:kern w:val="2"/>
          <w:sz w:val="32"/>
          <w:szCs w:val="32"/>
        </w:rPr>
        <w:t>4 资料分析</w:t>
      </w:r>
      <w:bookmarkEnd w:id="49"/>
    </w:p>
    <w:p>
      <w:pPr>
        <w:pStyle w:val="116"/>
        <w:rPr>
          <w:rFonts w:ascii="Times New Roman" w:hAnsi="Times New Roman" w:eastAsia="宋体"/>
          <w:szCs w:val="28"/>
        </w:rPr>
      </w:pPr>
      <w:bookmarkStart w:id="50" w:name="_Toc149641983"/>
      <w:r>
        <w:rPr>
          <w:rFonts w:ascii="Times New Roman" w:hAnsi="Times New Roman" w:eastAsia="宋体"/>
          <w:szCs w:val="28"/>
        </w:rPr>
        <w:t>4.1 政府和权威机构资料收集和分析</w:t>
      </w:r>
      <w:bookmarkEnd w:id="50"/>
    </w:p>
    <w:p>
      <w:pPr>
        <w:spacing w:line="440" w:lineRule="exact"/>
        <w:ind w:firstLine="480" w:firstLineChars="200"/>
        <w:rPr>
          <w:sz w:val="24"/>
          <w:szCs w:val="24"/>
        </w:rPr>
      </w:pPr>
      <w:r>
        <w:rPr>
          <w:sz w:val="24"/>
          <w:szCs w:val="24"/>
        </w:rPr>
        <w:t>本次资料收集工作在业主单位工作人员协助下展开，主要包括：地块</w:t>
      </w:r>
      <w:r>
        <w:rPr>
          <w:rFonts w:hint="eastAsia"/>
          <w:sz w:val="24"/>
          <w:szCs w:val="24"/>
        </w:rPr>
        <w:t>红线范围</w:t>
      </w:r>
      <w:r>
        <w:rPr>
          <w:sz w:val="24"/>
          <w:szCs w:val="24"/>
        </w:rPr>
        <w:t>资料、地块</w:t>
      </w:r>
      <w:r>
        <w:rPr>
          <w:rFonts w:hint="eastAsia"/>
          <w:sz w:val="24"/>
          <w:szCs w:val="24"/>
        </w:rPr>
        <w:t>规划</w:t>
      </w:r>
      <w:r>
        <w:rPr>
          <w:sz w:val="24"/>
          <w:szCs w:val="24"/>
        </w:rPr>
        <w:t>资料、地块</w:t>
      </w:r>
      <w:r>
        <w:rPr>
          <w:rFonts w:hint="eastAsia"/>
          <w:sz w:val="24"/>
          <w:szCs w:val="24"/>
        </w:rPr>
        <w:t>地质勘察</w:t>
      </w:r>
      <w:r>
        <w:rPr>
          <w:sz w:val="24"/>
          <w:szCs w:val="24"/>
        </w:rPr>
        <w:t>资料。资料获取情况详见表4.1-1。</w:t>
      </w:r>
    </w:p>
    <w:p>
      <w:pPr>
        <w:spacing w:line="460" w:lineRule="exact"/>
        <w:jc w:val="center"/>
        <w:rPr>
          <w:b/>
          <w:sz w:val="24"/>
          <w:szCs w:val="24"/>
        </w:rPr>
      </w:pPr>
      <w:r>
        <w:rPr>
          <w:b/>
          <w:sz w:val="24"/>
          <w:szCs w:val="24"/>
        </w:rPr>
        <w:t>表4.1-1  政府和权威机构资料获取情况一览表</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3"/>
        <w:gridCol w:w="1986"/>
        <w:gridCol w:w="1845"/>
        <w:gridCol w:w="2833"/>
        <w:gridCol w:w="1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62" w:type="pct"/>
            <w:vAlign w:val="center"/>
          </w:tcPr>
          <w:p>
            <w:pPr>
              <w:adjustRightInd w:val="0"/>
              <w:snapToGrid w:val="0"/>
              <w:jc w:val="center"/>
              <w:textAlignment w:val="center"/>
              <w:rPr>
                <w:b/>
                <w:sz w:val="21"/>
                <w:szCs w:val="21"/>
              </w:rPr>
            </w:pPr>
            <w:r>
              <w:rPr>
                <w:b/>
                <w:sz w:val="21"/>
                <w:szCs w:val="21"/>
              </w:rPr>
              <w:t>序号</w:t>
            </w:r>
          </w:p>
        </w:tc>
        <w:tc>
          <w:tcPr>
            <w:tcW w:w="1069" w:type="pct"/>
            <w:vAlign w:val="center"/>
          </w:tcPr>
          <w:p>
            <w:pPr>
              <w:adjustRightInd w:val="0"/>
              <w:snapToGrid w:val="0"/>
              <w:jc w:val="center"/>
              <w:textAlignment w:val="center"/>
              <w:rPr>
                <w:b/>
                <w:sz w:val="21"/>
                <w:szCs w:val="21"/>
              </w:rPr>
            </w:pPr>
            <w:r>
              <w:rPr>
                <w:b/>
                <w:sz w:val="21"/>
                <w:szCs w:val="21"/>
              </w:rPr>
              <w:t>资料类别</w:t>
            </w:r>
          </w:p>
        </w:tc>
        <w:tc>
          <w:tcPr>
            <w:tcW w:w="993" w:type="pct"/>
            <w:vAlign w:val="center"/>
          </w:tcPr>
          <w:p>
            <w:pPr>
              <w:adjustRightInd w:val="0"/>
              <w:snapToGrid w:val="0"/>
              <w:jc w:val="center"/>
              <w:textAlignment w:val="center"/>
              <w:rPr>
                <w:b/>
                <w:sz w:val="21"/>
                <w:szCs w:val="21"/>
              </w:rPr>
            </w:pPr>
            <w:r>
              <w:rPr>
                <w:b/>
                <w:sz w:val="21"/>
                <w:szCs w:val="21"/>
              </w:rPr>
              <w:t>资料内容</w:t>
            </w:r>
          </w:p>
        </w:tc>
        <w:tc>
          <w:tcPr>
            <w:tcW w:w="1525" w:type="pct"/>
            <w:vAlign w:val="center"/>
          </w:tcPr>
          <w:p>
            <w:pPr>
              <w:adjustRightInd w:val="0"/>
              <w:snapToGrid w:val="0"/>
              <w:jc w:val="center"/>
              <w:textAlignment w:val="center"/>
              <w:rPr>
                <w:b/>
                <w:sz w:val="21"/>
                <w:szCs w:val="21"/>
              </w:rPr>
            </w:pPr>
            <w:r>
              <w:rPr>
                <w:b/>
                <w:sz w:val="21"/>
                <w:szCs w:val="21"/>
              </w:rPr>
              <w:t>资料名称</w:t>
            </w:r>
          </w:p>
        </w:tc>
        <w:tc>
          <w:tcPr>
            <w:tcW w:w="1049" w:type="pct"/>
            <w:vAlign w:val="center"/>
          </w:tcPr>
          <w:p>
            <w:pPr>
              <w:adjustRightInd w:val="0"/>
              <w:snapToGrid w:val="0"/>
              <w:jc w:val="center"/>
              <w:textAlignment w:val="center"/>
              <w:rPr>
                <w:b/>
                <w:sz w:val="21"/>
                <w:szCs w:val="21"/>
              </w:rPr>
            </w:pPr>
            <w:r>
              <w:rPr>
                <w:b/>
                <w:sz w:val="21"/>
                <w:szCs w:val="21"/>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62" w:type="pct"/>
            <w:vAlign w:val="center"/>
          </w:tcPr>
          <w:p>
            <w:pPr>
              <w:adjustRightInd w:val="0"/>
              <w:snapToGrid w:val="0"/>
              <w:jc w:val="center"/>
              <w:textAlignment w:val="center"/>
              <w:rPr>
                <w:sz w:val="21"/>
                <w:szCs w:val="21"/>
              </w:rPr>
            </w:pPr>
            <w:r>
              <w:rPr>
                <w:sz w:val="21"/>
                <w:szCs w:val="21"/>
              </w:rPr>
              <w:t>1</w:t>
            </w:r>
          </w:p>
        </w:tc>
        <w:tc>
          <w:tcPr>
            <w:tcW w:w="1069" w:type="pct"/>
            <w:vAlign w:val="center"/>
          </w:tcPr>
          <w:p>
            <w:pPr>
              <w:adjustRightInd w:val="0"/>
              <w:snapToGrid w:val="0"/>
              <w:jc w:val="center"/>
              <w:textAlignment w:val="center"/>
              <w:rPr>
                <w:sz w:val="21"/>
                <w:szCs w:val="21"/>
              </w:rPr>
            </w:pPr>
            <w:r>
              <w:rPr>
                <w:sz w:val="21"/>
                <w:szCs w:val="21"/>
              </w:rPr>
              <w:t>地块</w:t>
            </w:r>
            <w:r>
              <w:rPr>
                <w:rFonts w:hint="eastAsia"/>
                <w:sz w:val="21"/>
                <w:szCs w:val="21"/>
              </w:rPr>
              <w:t>红线范围</w:t>
            </w:r>
            <w:r>
              <w:rPr>
                <w:sz w:val="21"/>
                <w:szCs w:val="21"/>
              </w:rPr>
              <w:t>资料</w:t>
            </w:r>
          </w:p>
        </w:tc>
        <w:tc>
          <w:tcPr>
            <w:tcW w:w="993" w:type="pct"/>
            <w:vAlign w:val="center"/>
          </w:tcPr>
          <w:p>
            <w:pPr>
              <w:adjustRightInd w:val="0"/>
              <w:snapToGrid w:val="0"/>
              <w:jc w:val="center"/>
              <w:textAlignment w:val="center"/>
              <w:rPr>
                <w:sz w:val="21"/>
                <w:szCs w:val="21"/>
              </w:rPr>
            </w:pPr>
            <w:r>
              <w:rPr>
                <w:sz w:val="21"/>
                <w:szCs w:val="21"/>
              </w:rPr>
              <w:t>地块边界及拐点</w:t>
            </w:r>
          </w:p>
        </w:tc>
        <w:tc>
          <w:tcPr>
            <w:tcW w:w="1525" w:type="pct"/>
            <w:vAlign w:val="center"/>
          </w:tcPr>
          <w:p>
            <w:pPr>
              <w:adjustRightInd w:val="0"/>
              <w:snapToGrid w:val="0"/>
              <w:jc w:val="center"/>
              <w:textAlignment w:val="center"/>
              <w:rPr>
                <w:sz w:val="21"/>
                <w:szCs w:val="21"/>
              </w:rPr>
            </w:pPr>
            <w:r>
              <w:rPr>
                <w:rFonts w:hint="eastAsia"/>
                <w:sz w:val="21"/>
                <w:szCs w:val="21"/>
              </w:rPr>
              <w:t>婺城区白龙桥镇东堰街以东、东俞路以南、金江南街以西地块用地红线图</w:t>
            </w:r>
          </w:p>
        </w:tc>
        <w:tc>
          <w:tcPr>
            <w:tcW w:w="1049" w:type="pct"/>
            <w:vAlign w:val="center"/>
          </w:tcPr>
          <w:p>
            <w:pPr>
              <w:adjustRightInd w:val="0"/>
              <w:snapToGrid w:val="0"/>
              <w:jc w:val="center"/>
              <w:textAlignment w:val="center"/>
              <w:rPr>
                <w:sz w:val="21"/>
                <w:szCs w:val="21"/>
              </w:rPr>
            </w:pPr>
            <w:r>
              <w:rPr>
                <w:sz w:val="21"/>
                <w:szCs w:val="21"/>
              </w:rPr>
              <w:t>金华市自然资源和规划局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62" w:type="pct"/>
            <w:vAlign w:val="center"/>
          </w:tcPr>
          <w:p>
            <w:pPr>
              <w:adjustRightInd w:val="0"/>
              <w:snapToGrid w:val="0"/>
              <w:jc w:val="center"/>
              <w:textAlignment w:val="center"/>
              <w:rPr>
                <w:sz w:val="21"/>
                <w:szCs w:val="21"/>
              </w:rPr>
            </w:pPr>
            <w:r>
              <w:rPr>
                <w:sz w:val="21"/>
                <w:szCs w:val="21"/>
              </w:rPr>
              <w:t>2</w:t>
            </w:r>
          </w:p>
        </w:tc>
        <w:tc>
          <w:tcPr>
            <w:tcW w:w="1069" w:type="pct"/>
            <w:vAlign w:val="center"/>
          </w:tcPr>
          <w:p>
            <w:pPr>
              <w:adjustRightInd w:val="0"/>
              <w:snapToGrid w:val="0"/>
              <w:jc w:val="center"/>
              <w:textAlignment w:val="center"/>
              <w:rPr>
                <w:sz w:val="21"/>
                <w:szCs w:val="21"/>
              </w:rPr>
            </w:pPr>
            <w:r>
              <w:rPr>
                <w:sz w:val="21"/>
                <w:szCs w:val="21"/>
              </w:rPr>
              <w:t>地块规划资料</w:t>
            </w:r>
          </w:p>
        </w:tc>
        <w:tc>
          <w:tcPr>
            <w:tcW w:w="993" w:type="pct"/>
            <w:vAlign w:val="center"/>
          </w:tcPr>
          <w:p>
            <w:pPr>
              <w:adjustRightInd w:val="0"/>
              <w:snapToGrid w:val="0"/>
              <w:jc w:val="center"/>
              <w:textAlignment w:val="center"/>
              <w:rPr>
                <w:sz w:val="21"/>
                <w:szCs w:val="21"/>
              </w:rPr>
            </w:pPr>
            <w:r>
              <w:rPr>
                <w:rFonts w:hint="eastAsia"/>
                <w:sz w:val="21"/>
                <w:szCs w:val="21"/>
              </w:rPr>
              <w:t>金华市婺城区婺城新区单元((ZX-15-01-19))地块</w:t>
            </w:r>
            <w:r>
              <w:rPr>
                <w:sz w:val="21"/>
                <w:szCs w:val="21"/>
              </w:rPr>
              <w:t>规划用地性质</w:t>
            </w:r>
          </w:p>
        </w:tc>
        <w:tc>
          <w:tcPr>
            <w:tcW w:w="1525" w:type="pct"/>
            <w:vAlign w:val="center"/>
          </w:tcPr>
          <w:p>
            <w:pPr>
              <w:adjustRightInd w:val="0"/>
              <w:snapToGrid w:val="0"/>
              <w:jc w:val="center"/>
              <w:textAlignment w:val="center"/>
            </w:pPr>
            <w:r>
              <w:rPr>
                <w:rFonts w:hint="eastAsia"/>
                <w:sz w:val="21"/>
                <w:szCs w:val="21"/>
              </w:rPr>
              <w:t>金华市婺城区婺城新区单元((ZX-15-01-19))地块规划条件书</w:t>
            </w:r>
          </w:p>
        </w:tc>
        <w:tc>
          <w:tcPr>
            <w:tcW w:w="1049" w:type="pct"/>
            <w:vAlign w:val="center"/>
          </w:tcPr>
          <w:p>
            <w:pPr>
              <w:adjustRightInd w:val="0"/>
              <w:snapToGrid w:val="0"/>
              <w:jc w:val="center"/>
              <w:textAlignment w:val="center"/>
              <w:rPr>
                <w:sz w:val="21"/>
                <w:szCs w:val="21"/>
              </w:rPr>
            </w:pPr>
            <w:r>
              <w:rPr>
                <w:sz w:val="21"/>
                <w:szCs w:val="21"/>
              </w:rPr>
              <w:t>金华市自然资源和规划局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62" w:type="pct"/>
            <w:vAlign w:val="center"/>
          </w:tcPr>
          <w:p>
            <w:pPr>
              <w:adjustRightInd w:val="0"/>
              <w:snapToGrid w:val="0"/>
              <w:jc w:val="center"/>
              <w:textAlignment w:val="center"/>
              <w:rPr>
                <w:sz w:val="21"/>
                <w:szCs w:val="21"/>
              </w:rPr>
            </w:pPr>
            <w:r>
              <w:rPr>
                <w:sz w:val="21"/>
                <w:szCs w:val="21"/>
              </w:rPr>
              <w:t>3</w:t>
            </w:r>
          </w:p>
        </w:tc>
        <w:tc>
          <w:tcPr>
            <w:tcW w:w="1069" w:type="pct"/>
            <w:vAlign w:val="center"/>
          </w:tcPr>
          <w:p>
            <w:pPr>
              <w:adjustRightInd w:val="0"/>
              <w:snapToGrid w:val="0"/>
              <w:jc w:val="center"/>
              <w:textAlignment w:val="center"/>
              <w:rPr>
                <w:sz w:val="21"/>
                <w:szCs w:val="21"/>
              </w:rPr>
            </w:pPr>
            <w:r>
              <w:rPr>
                <w:sz w:val="21"/>
                <w:szCs w:val="21"/>
              </w:rPr>
              <w:t>地块</w:t>
            </w:r>
            <w:r>
              <w:rPr>
                <w:rFonts w:hint="eastAsia"/>
                <w:sz w:val="21"/>
                <w:szCs w:val="21"/>
              </w:rPr>
              <w:t>地质勘察资料</w:t>
            </w:r>
          </w:p>
        </w:tc>
        <w:tc>
          <w:tcPr>
            <w:tcW w:w="993" w:type="pct"/>
            <w:vAlign w:val="center"/>
          </w:tcPr>
          <w:p>
            <w:pPr>
              <w:adjustRightInd w:val="0"/>
              <w:snapToGrid w:val="0"/>
              <w:jc w:val="center"/>
              <w:textAlignment w:val="center"/>
              <w:rPr>
                <w:sz w:val="21"/>
                <w:szCs w:val="21"/>
              </w:rPr>
            </w:pPr>
            <w:r>
              <w:rPr>
                <w:sz w:val="21"/>
                <w:szCs w:val="21"/>
              </w:rPr>
              <w:t>地块的地质和水文地质条件</w:t>
            </w:r>
          </w:p>
        </w:tc>
        <w:tc>
          <w:tcPr>
            <w:tcW w:w="1525" w:type="pct"/>
            <w:vAlign w:val="center"/>
          </w:tcPr>
          <w:p>
            <w:pPr>
              <w:adjustRightInd w:val="0"/>
              <w:snapToGrid w:val="0"/>
              <w:jc w:val="center"/>
              <w:textAlignment w:val="center"/>
              <w:rPr>
                <w:sz w:val="21"/>
                <w:szCs w:val="21"/>
              </w:rPr>
            </w:pPr>
            <w:r>
              <w:rPr>
                <w:rFonts w:hint="eastAsia"/>
                <w:sz w:val="21"/>
                <w:szCs w:val="21"/>
              </w:rPr>
              <w:t>金华市婺城区婺城新区单元(ZX-15-01-19)地块建筑用砂矿地质勘查</w:t>
            </w:r>
          </w:p>
        </w:tc>
        <w:tc>
          <w:tcPr>
            <w:tcW w:w="1049" w:type="pct"/>
            <w:vAlign w:val="center"/>
          </w:tcPr>
          <w:p>
            <w:pPr>
              <w:adjustRightInd w:val="0"/>
              <w:snapToGrid w:val="0"/>
              <w:jc w:val="center"/>
              <w:textAlignment w:val="center"/>
              <w:rPr>
                <w:sz w:val="21"/>
                <w:szCs w:val="21"/>
              </w:rPr>
            </w:pPr>
            <w:r>
              <w:rPr>
                <w:rFonts w:hint="eastAsia"/>
                <w:sz w:val="21"/>
                <w:szCs w:val="21"/>
              </w:rPr>
              <w:t>金华市金婺资源开发集团有限公司</w:t>
            </w:r>
          </w:p>
        </w:tc>
      </w:tr>
    </w:tbl>
    <w:p>
      <w:pPr>
        <w:spacing w:line="440" w:lineRule="exact"/>
        <w:ind w:firstLine="480" w:firstLineChars="200"/>
        <w:rPr>
          <w:sz w:val="24"/>
          <w:szCs w:val="24"/>
        </w:rPr>
      </w:pPr>
      <w:r>
        <w:rPr>
          <w:sz w:val="24"/>
          <w:szCs w:val="24"/>
        </w:rPr>
        <w:t>通过以上收集到的政府和权威机构资料分析，可得以下结论：</w:t>
      </w:r>
    </w:p>
    <w:p>
      <w:pPr>
        <w:spacing w:line="440" w:lineRule="exact"/>
        <w:ind w:firstLine="480" w:firstLineChars="200"/>
        <w:rPr>
          <w:sz w:val="24"/>
          <w:szCs w:val="24"/>
        </w:rPr>
      </w:pPr>
      <w:r>
        <w:rPr>
          <w:sz w:val="24"/>
          <w:szCs w:val="24"/>
        </w:rPr>
        <w:t>1、本次调查地块为</w:t>
      </w:r>
      <w:r>
        <w:rPr>
          <w:rFonts w:hint="eastAsia"/>
          <w:sz w:val="24"/>
          <w:szCs w:val="24"/>
        </w:rPr>
        <w:t>金华市婺城区婺城新区单元((ZX-15-01-19))地块</w:t>
      </w:r>
      <w:r>
        <w:rPr>
          <w:sz w:val="24"/>
          <w:szCs w:val="24"/>
        </w:rPr>
        <w:t>，地块总占地面积</w:t>
      </w:r>
      <w:r>
        <w:rPr>
          <w:rFonts w:hint="eastAsia"/>
          <w:sz w:val="24"/>
          <w:szCs w:val="24"/>
        </w:rPr>
        <w:t>63950.01</w:t>
      </w:r>
      <w:r>
        <w:rPr>
          <w:sz w:val="24"/>
          <w:szCs w:val="24"/>
        </w:rPr>
        <w:t>m</w:t>
      </w:r>
      <w:r>
        <w:rPr>
          <w:sz w:val="24"/>
          <w:szCs w:val="24"/>
          <w:vertAlign w:val="superscript"/>
        </w:rPr>
        <w:t>2</w:t>
      </w:r>
      <w:r>
        <w:rPr>
          <w:sz w:val="24"/>
          <w:szCs w:val="24"/>
        </w:rPr>
        <w:t>。</w:t>
      </w:r>
    </w:p>
    <w:p>
      <w:pPr>
        <w:spacing w:line="440" w:lineRule="exact"/>
        <w:ind w:firstLine="480" w:firstLineChars="200"/>
        <w:rPr>
          <w:sz w:val="24"/>
          <w:szCs w:val="24"/>
        </w:rPr>
      </w:pPr>
      <w:r>
        <w:rPr>
          <w:sz w:val="24"/>
          <w:szCs w:val="24"/>
        </w:rPr>
        <w:t>2、</w:t>
      </w:r>
      <w:r>
        <w:rPr>
          <w:rFonts w:hint="eastAsia"/>
          <w:sz w:val="24"/>
          <w:szCs w:val="24"/>
        </w:rPr>
        <w:t>金华市婺城区婺城新区单元((ZX-15-01-19))地块</w:t>
      </w:r>
      <w:r>
        <w:rPr>
          <w:sz w:val="24"/>
          <w:szCs w:val="24"/>
        </w:rPr>
        <w:t>规划用地性质为</w:t>
      </w:r>
      <w:r>
        <w:rPr>
          <w:rFonts w:hint="eastAsia"/>
          <w:sz w:val="24"/>
          <w:szCs w:val="24"/>
        </w:rPr>
        <w:t>二类</w:t>
      </w:r>
      <w:r>
        <w:rPr>
          <w:sz w:val="24"/>
          <w:szCs w:val="24"/>
        </w:rPr>
        <w:t>居住用地</w:t>
      </w:r>
      <w:r>
        <w:rPr>
          <w:rFonts w:hint="eastAsia"/>
          <w:sz w:val="24"/>
          <w:szCs w:val="24"/>
        </w:rPr>
        <w:t>(R2)和地下人民防空设施(UG25)</w:t>
      </w:r>
      <w:r>
        <w:rPr>
          <w:sz w:val="24"/>
          <w:szCs w:val="24"/>
        </w:rPr>
        <w:t>，根据《中华人民共和国土壤污染防治法》第五十九条：用途变更为住宅、公共管理与公共服务用地的，变更前应当按照规定进行土壤污染状况调查；对照《浙江省建设用地土壤污染风险管控和修复监督管理办法》(浙环发[2021]21号)第七条，本地块为农用地转为</w:t>
      </w:r>
      <w:r>
        <w:rPr>
          <w:rFonts w:hint="eastAsia"/>
          <w:sz w:val="24"/>
          <w:szCs w:val="24"/>
        </w:rPr>
        <w:t>居住用地，</w:t>
      </w:r>
      <w:r>
        <w:rPr>
          <w:sz w:val="24"/>
          <w:szCs w:val="24"/>
        </w:rPr>
        <w:t>判定本地块为甲类地块，需进行土壤污染状况调查。</w:t>
      </w:r>
    </w:p>
    <w:p>
      <w:pPr>
        <w:spacing w:line="440" w:lineRule="exact"/>
        <w:ind w:firstLine="480" w:firstLineChars="200"/>
        <w:rPr>
          <w:sz w:val="24"/>
          <w:szCs w:val="24"/>
        </w:rPr>
      </w:pPr>
      <w:r>
        <w:rPr>
          <w:sz w:val="24"/>
          <w:szCs w:val="24"/>
        </w:rPr>
        <w:t>3、根据地块地勘资料，该地块内土层性质纵向分布主要为素填土、</w:t>
      </w:r>
      <w:r>
        <w:rPr>
          <w:rFonts w:hint="eastAsia"/>
          <w:sz w:val="24"/>
          <w:szCs w:val="24"/>
        </w:rPr>
        <w:t>淤泥、砾岩</w:t>
      </w:r>
      <w:r>
        <w:rPr>
          <w:sz w:val="24"/>
          <w:szCs w:val="24"/>
        </w:rPr>
        <w:t>、粉砂岩，地下水流向大致为由</w:t>
      </w:r>
      <w:r>
        <w:rPr>
          <w:rFonts w:hint="eastAsia"/>
          <w:sz w:val="24"/>
          <w:szCs w:val="24"/>
        </w:rPr>
        <w:t>东</w:t>
      </w:r>
      <w:r>
        <w:rPr>
          <w:sz w:val="24"/>
          <w:szCs w:val="24"/>
        </w:rPr>
        <w:t>向</w:t>
      </w:r>
      <w:r>
        <w:rPr>
          <w:rFonts w:hint="eastAsia"/>
          <w:sz w:val="24"/>
          <w:szCs w:val="24"/>
        </w:rPr>
        <w:t>西</w:t>
      </w:r>
      <w:r>
        <w:rPr>
          <w:sz w:val="24"/>
          <w:szCs w:val="24"/>
        </w:rPr>
        <w:t>流动。</w:t>
      </w:r>
    </w:p>
    <w:p>
      <w:pPr>
        <w:spacing w:line="440" w:lineRule="exact"/>
        <w:ind w:firstLine="480" w:firstLineChars="200"/>
        <w:rPr>
          <w:sz w:val="24"/>
          <w:szCs w:val="24"/>
        </w:rPr>
      </w:pPr>
      <w:r>
        <w:rPr>
          <w:sz w:val="24"/>
          <w:szCs w:val="24"/>
        </w:rPr>
        <w:t>4、根据</w:t>
      </w:r>
      <w:r>
        <w:rPr>
          <w:rFonts w:hint="eastAsia"/>
          <w:sz w:val="24"/>
          <w:szCs w:val="24"/>
        </w:rPr>
        <w:t>人员访谈和现场勘查</w:t>
      </w:r>
      <w:r>
        <w:rPr>
          <w:sz w:val="24"/>
          <w:szCs w:val="24"/>
        </w:rPr>
        <w:t>的调查结论：</w:t>
      </w:r>
      <w:r>
        <w:rPr>
          <w:rFonts w:hint="eastAsia"/>
          <w:sz w:val="24"/>
          <w:szCs w:val="24"/>
        </w:rPr>
        <w:t>该</w:t>
      </w:r>
      <w:r>
        <w:rPr>
          <w:rFonts w:hint="eastAsia" w:ascii="宋体" w:hAnsi="宋体"/>
          <w:bCs/>
          <w:sz w:val="24"/>
          <w:szCs w:val="24"/>
        </w:rPr>
        <w:t>地块历史未开设过企业，未进行规模化养殖、有毒有害物质贮存或输，地块不存在明显的受污染情况，周边地块也不存在能直接影响地块内土壤情况的污染源，地块历史上不曾有过工业企业和固体废物堆积痕迹，未发现废水排放和危化品泄漏情况，</w:t>
      </w:r>
      <w:r>
        <w:rPr>
          <w:sz w:val="24"/>
          <w:szCs w:val="24"/>
        </w:rPr>
        <w:t>地块原有的生产活动</w:t>
      </w:r>
      <w:r>
        <w:rPr>
          <w:rFonts w:hint="eastAsia"/>
          <w:sz w:val="24"/>
          <w:szCs w:val="24"/>
        </w:rPr>
        <w:t>主要为农业活动，</w:t>
      </w:r>
      <w:r>
        <w:rPr>
          <w:sz w:val="24"/>
          <w:szCs w:val="24"/>
        </w:rPr>
        <w:t>对地块造成的污染较小，因此本地块调查可结束于第一次阶段土壤污染状况调查，不需开展第二阶段土壤污染状况调查工作，直接用于</w:t>
      </w:r>
      <w:r>
        <w:rPr>
          <w:rFonts w:hint="eastAsia"/>
          <w:sz w:val="24"/>
          <w:szCs w:val="24"/>
        </w:rPr>
        <w:t>居住用地</w:t>
      </w:r>
      <w:r>
        <w:rPr>
          <w:sz w:val="24"/>
          <w:szCs w:val="24"/>
        </w:rPr>
        <w:t>开发是可行的。分析得出：本地块土壤和地下水基本不受周边环境影响。</w:t>
      </w:r>
    </w:p>
    <w:p>
      <w:pPr>
        <w:pStyle w:val="116"/>
        <w:rPr>
          <w:rFonts w:ascii="Times New Roman" w:hAnsi="Times New Roman" w:eastAsia="宋体"/>
          <w:szCs w:val="28"/>
        </w:rPr>
      </w:pPr>
      <w:bookmarkStart w:id="51" w:name="_Toc149641984"/>
      <w:r>
        <w:rPr>
          <w:rFonts w:ascii="Times New Roman" w:hAnsi="Times New Roman" w:eastAsia="宋体"/>
          <w:szCs w:val="28"/>
        </w:rPr>
        <w:t>4.2 地块资料收集和分析</w:t>
      </w:r>
      <w:bookmarkEnd w:id="51"/>
    </w:p>
    <w:p>
      <w:pPr>
        <w:spacing w:line="440" w:lineRule="exact"/>
        <w:ind w:firstLine="480" w:firstLineChars="200"/>
        <w:rPr>
          <w:sz w:val="24"/>
          <w:szCs w:val="24"/>
        </w:rPr>
      </w:pPr>
      <w:r>
        <w:rPr>
          <w:sz w:val="24"/>
          <w:szCs w:val="24"/>
        </w:rPr>
        <w:t>地块其它资料获取情况详见表4.2-1。</w:t>
      </w:r>
    </w:p>
    <w:p>
      <w:pPr>
        <w:spacing w:line="460" w:lineRule="exact"/>
        <w:jc w:val="center"/>
        <w:rPr>
          <w:b/>
          <w:sz w:val="24"/>
          <w:szCs w:val="24"/>
        </w:rPr>
      </w:pPr>
      <w:r>
        <w:rPr>
          <w:b/>
          <w:sz w:val="24"/>
          <w:szCs w:val="24"/>
        </w:rPr>
        <w:t>表4.2-1  其它资料获取情况一览表</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1986"/>
        <w:gridCol w:w="3117"/>
        <w:gridCol w:w="3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63" w:type="pct"/>
            <w:vAlign w:val="center"/>
          </w:tcPr>
          <w:p>
            <w:pPr>
              <w:adjustRightInd w:val="0"/>
              <w:snapToGrid w:val="0"/>
              <w:jc w:val="center"/>
              <w:textAlignment w:val="center"/>
              <w:rPr>
                <w:b/>
                <w:sz w:val="21"/>
                <w:szCs w:val="21"/>
              </w:rPr>
            </w:pPr>
            <w:r>
              <w:rPr>
                <w:b/>
                <w:sz w:val="21"/>
                <w:szCs w:val="21"/>
              </w:rPr>
              <w:t>序号</w:t>
            </w:r>
          </w:p>
        </w:tc>
        <w:tc>
          <w:tcPr>
            <w:tcW w:w="1069" w:type="pct"/>
            <w:vAlign w:val="center"/>
          </w:tcPr>
          <w:p>
            <w:pPr>
              <w:adjustRightInd w:val="0"/>
              <w:snapToGrid w:val="0"/>
              <w:jc w:val="center"/>
              <w:textAlignment w:val="center"/>
              <w:rPr>
                <w:b/>
                <w:sz w:val="21"/>
                <w:szCs w:val="21"/>
              </w:rPr>
            </w:pPr>
            <w:r>
              <w:rPr>
                <w:b/>
                <w:sz w:val="21"/>
                <w:szCs w:val="21"/>
              </w:rPr>
              <w:t>资料类别</w:t>
            </w:r>
          </w:p>
        </w:tc>
        <w:tc>
          <w:tcPr>
            <w:tcW w:w="1678" w:type="pct"/>
            <w:vAlign w:val="center"/>
          </w:tcPr>
          <w:p>
            <w:pPr>
              <w:adjustRightInd w:val="0"/>
              <w:snapToGrid w:val="0"/>
              <w:jc w:val="center"/>
              <w:textAlignment w:val="center"/>
              <w:rPr>
                <w:b/>
                <w:sz w:val="21"/>
                <w:szCs w:val="21"/>
              </w:rPr>
            </w:pPr>
            <w:r>
              <w:rPr>
                <w:b/>
                <w:sz w:val="21"/>
                <w:szCs w:val="21"/>
              </w:rPr>
              <w:t>资料内容</w:t>
            </w:r>
          </w:p>
        </w:tc>
        <w:tc>
          <w:tcPr>
            <w:tcW w:w="1889" w:type="pct"/>
            <w:vAlign w:val="center"/>
          </w:tcPr>
          <w:p>
            <w:pPr>
              <w:adjustRightInd w:val="0"/>
              <w:snapToGrid w:val="0"/>
              <w:jc w:val="center"/>
              <w:textAlignment w:val="center"/>
              <w:rPr>
                <w:b/>
                <w:sz w:val="21"/>
                <w:szCs w:val="21"/>
              </w:rPr>
            </w:pPr>
            <w:r>
              <w:rPr>
                <w:b/>
                <w:sz w:val="21"/>
                <w:szCs w:val="21"/>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63" w:type="pct"/>
            <w:vMerge w:val="restart"/>
            <w:vAlign w:val="center"/>
          </w:tcPr>
          <w:p>
            <w:pPr>
              <w:adjustRightInd w:val="0"/>
              <w:snapToGrid w:val="0"/>
              <w:jc w:val="center"/>
              <w:textAlignment w:val="center"/>
              <w:rPr>
                <w:sz w:val="21"/>
                <w:szCs w:val="21"/>
              </w:rPr>
            </w:pPr>
            <w:r>
              <w:rPr>
                <w:sz w:val="21"/>
                <w:szCs w:val="21"/>
              </w:rPr>
              <w:t>1</w:t>
            </w:r>
          </w:p>
        </w:tc>
        <w:tc>
          <w:tcPr>
            <w:tcW w:w="1069" w:type="pct"/>
            <w:vMerge w:val="restart"/>
            <w:vAlign w:val="center"/>
          </w:tcPr>
          <w:p>
            <w:pPr>
              <w:adjustRightInd w:val="0"/>
              <w:snapToGrid w:val="0"/>
              <w:jc w:val="center"/>
              <w:textAlignment w:val="center"/>
              <w:rPr>
                <w:sz w:val="21"/>
                <w:szCs w:val="21"/>
              </w:rPr>
            </w:pPr>
            <w:r>
              <w:rPr>
                <w:sz w:val="21"/>
                <w:szCs w:val="21"/>
              </w:rPr>
              <w:t>地块环境资料</w:t>
            </w:r>
          </w:p>
        </w:tc>
        <w:tc>
          <w:tcPr>
            <w:tcW w:w="1678" w:type="pct"/>
            <w:vAlign w:val="center"/>
          </w:tcPr>
          <w:p>
            <w:pPr>
              <w:adjustRightInd w:val="0"/>
              <w:snapToGrid w:val="0"/>
              <w:jc w:val="center"/>
              <w:textAlignment w:val="center"/>
              <w:rPr>
                <w:sz w:val="21"/>
                <w:szCs w:val="21"/>
              </w:rPr>
            </w:pPr>
            <w:r>
              <w:rPr>
                <w:sz w:val="21"/>
                <w:szCs w:val="21"/>
              </w:rPr>
              <w:t>地块周边敏感目标</w:t>
            </w:r>
          </w:p>
        </w:tc>
        <w:tc>
          <w:tcPr>
            <w:tcW w:w="1889" w:type="pct"/>
            <w:vAlign w:val="center"/>
          </w:tcPr>
          <w:p>
            <w:pPr>
              <w:adjustRightInd w:val="0"/>
              <w:snapToGrid w:val="0"/>
              <w:jc w:val="center"/>
              <w:textAlignment w:val="center"/>
              <w:rPr>
                <w:sz w:val="21"/>
                <w:szCs w:val="21"/>
              </w:rPr>
            </w:pPr>
            <w:r>
              <w:rPr>
                <w:sz w:val="21"/>
                <w:szCs w:val="21"/>
              </w:rPr>
              <w:t>Google Earth影像、现场踏勘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63" w:type="pct"/>
            <w:vMerge w:val="continue"/>
            <w:vAlign w:val="center"/>
          </w:tcPr>
          <w:p>
            <w:pPr>
              <w:adjustRightInd w:val="0"/>
              <w:snapToGrid w:val="0"/>
              <w:jc w:val="center"/>
              <w:textAlignment w:val="center"/>
              <w:rPr>
                <w:sz w:val="21"/>
                <w:szCs w:val="21"/>
              </w:rPr>
            </w:pPr>
          </w:p>
        </w:tc>
        <w:tc>
          <w:tcPr>
            <w:tcW w:w="1069" w:type="pct"/>
            <w:vMerge w:val="continue"/>
            <w:vAlign w:val="center"/>
          </w:tcPr>
          <w:p>
            <w:pPr>
              <w:adjustRightInd w:val="0"/>
              <w:snapToGrid w:val="0"/>
              <w:jc w:val="center"/>
              <w:textAlignment w:val="center"/>
              <w:rPr>
                <w:sz w:val="21"/>
                <w:szCs w:val="21"/>
              </w:rPr>
            </w:pPr>
          </w:p>
        </w:tc>
        <w:tc>
          <w:tcPr>
            <w:tcW w:w="1678" w:type="pct"/>
            <w:vAlign w:val="center"/>
          </w:tcPr>
          <w:p>
            <w:pPr>
              <w:adjustRightInd w:val="0"/>
              <w:snapToGrid w:val="0"/>
              <w:jc w:val="center"/>
              <w:textAlignment w:val="center"/>
              <w:rPr>
                <w:sz w:val="21"/>
                <w:szCs w:val="21"/>
              </w:rPr>
            </w:pPr>
            <w:r>
              <w:rPr>
                <w:sz w:val="21"/>
                <w:szCs w:val="21"/>
              </w:rPr>
              <w:t>地块周边环境</w:t>
            </w:r>
          </w:p>
        </w:tc>
        <w:tc>
          <w:tcPr>
            <w:tcW w:w="1889" w:type="pct"/>
            <w:vAlign w:val="center"/>
          </w:tcPr>
          <w:p>
            <w:pPr>
              <w:adjustRightInd w:val="0"/>
              <w:snapToGrid w:val="0"/>
              <w:jc w:val="center"/>
              <w:textAlignment w:val="center"/>
              <w:rPr>
                <w:sz w:val="21"/>
                <w:szCs w:val="21"/>
              </w:rPr>
            </w:pPr>
            <w:r>
              <w:rPr>
                <w:sz w:val="21"/>
                <w:szCs w:val="21"/>
              </w:rPr>
              <w:t>Google Earth影像、现场踏勘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63" w:type="pct"/>
            <w:vMerge w:val="restart"/>
            <w:vAlign w:val="center"/>
          </w:tcPr>
          <w:p>
            <w:pPr>
              <w:adjustRightInd w:val="0"/>
              <w:snapToGrid w:val="0"/>
              <w:jc w:val="center"/>
              <w:textAlignment w:val="center"/>
              <w:rPr>
                <w:sz w:val="21"/>
                <w:szCs w:val="21"/>
              </w:rPr>
            </w:pPr>
            <w:r>
              <w:rPr>
                <w:sz w:val="21"/>
                <w:szCs w:val="21"/>
              </w:rPr>
              <w:t>2</w:t>
            </w:r>
          </w:p>
        </w:tc>
        <w:tc>
          <w:tcPr>
            <w:tcW w:w="1069" w:type="pct"/>
            <w:vMerge w:val="restart"/>
            <w:vAlign w:val="center"/>
          </w:tcPr>
          <w:p>
            <w:pPr>
              <w:adjustRightInd w:val="0"/>
              <w:snapToGrid w:val="0"/>
              <w:jc w:val="center"/>
              <w:textAlignment w:val="center"/>
              <w:rPr>
                <w:sz w:val="21"/>
                <w:szCs w:val="21"/>
              </w:rPr>
            </w:pPr>
            <w:r>
              <w:rPr>
                <w:sz w:val="21"/>
                <w:szCs w:val="21"/>
              </w:rPr>
              <w:t>地块利用变迁资料</w:t>
            </w:r>
          </w:p>
        </w:tc>
        <w:tc>
          <w:tcPr>
            <w:tcW w:w="1678" w:type="pct"/>
            <w:vAlign w:val="center"/>
          </w:tcPr>
          <w:p>
            <w:pPr>
              <w:adjustRightInd w:val="0"/>
              <w:snapToGrid w:val="0"/>
              <w:jc w:val="center"/>
              <w:textAlignment w:val="center"/>
              <w:rPr>
                <w:sz w:val="21"/>
                <w:szCs w:val="21"/>
              </w:rPr>
            </w:pPr>
            <w:r>
              <w:rPr>
                <w:sz w:val="21"/>
                <w:szCs w:val="21"/>
              </w:rPr>
              <w:t>地块历史航拍图</w:t>
            </w:r>
          </w:p>
        </w:tc>
        <w:tc>
          <w:tcPr>
            <w:tcW w:w="1889" w:type="pct"/>
            <w:vAlign w:val="center"/>
          </w:tcPr>
          <w:p>
            <w:pPr>
              <w:adjustRightInd w:val="0"/>
              <w:snapToGrid w:val="0"/>
              <w:jc w:val="center"/>
              <w:textAlignment w:val="center"/>
              <w:rPr>
                <w:sz w:val="21"/>
                <w:szCs w:val="21"/>
              </w:rPr>
            </w:pPr>
            <w:r>
              <w:rPr>
                <w:sz w:val="21"/>
                <w:szCs w:val="21"/>
              </w:rPr>
              <w:t>浙江天地图、Google Earth历史影像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63" w:type="pct"/>
            <w:vMerge w:val="continue"/>
            <w:vAlign w:val="center"/>
          </w:tcPr>
          <w:p>
            <w:pPr>
              <w:adjustRightInd w:val="0"/>
              <w:snapToGrid w:val="0"/>
              <w:jc w:val="center"/>
              <w:textAlignment w:val="center"/>
              <w:rPr>
                <w:sz w:val="21"/>
                <w:szCs w:val="21"/>
              </w:rPr>
            </w:pPr>
          </w:p>
        </w:tc>
        <w:tc>
          <w:tcPr>
            <w:tcW w:w="1069" w:type="pct"/>
            <w:vMerge w:val="continue"/>
            <w:vAlign w:val="center"/>
          </w:tcPr>
          <w:p>
            <w:pPr>
              <w:adjustRightInd w:val="0"/>
              <w:snapToGrid w:val="0"/>
              <w:jc w:val="center"/>
              <w:textAlignment w:val="center"/>
              <w:rPr>
                <w:sz w:val="21"/>
                <w:szCs w:val="21"/>
              </w:rPr>
            </w:pPr>
          </w:p>
        </w:tc>
        <w:tc>
          <w:tcPr>
            <w:tcW w:w="1678" w:type="pct"/>
            <w:vAlign w:val="center"/>
          </w:tcPr>
          <w:p>
            <w:pPr>
              <w:adjustRightInd w:val="0"/>
              <w:snapToGrid w:val="0"/>
              <w:jc w:val="center"/>
              <w:textAlignment w:val="center"/>
              <w:rPr>
                <w:sz w:val="21"/>
                <w:szCs w:val="21"/>
              </w:rPr>
            </w:pPr>
            <w:r>
              <w:rPr>
                <w:sz w:val="21"/>
                <w:szCs w:val="21"/>
              </w:rPr>
              <w:t>地块内历史污染物产生情况</w:t>
            </w:r>
          </w:p>
        </w:tc>
        <w:tc>
          <w:tcPr>
            <w:tcW w:w="1889" w:type="pct"/>
            <w:vAlign w:val="center"/>
          </w:tcPr>
          <w:p>
            <w:pPr>
              <w:adjustRightInd w:val="0"/>
              <w:snapToGrid w:val="0"/>
              <w:jc w:val="center"/>
              <w:textAlignment w:val="center"/>
              <w:rPr>
                <w:sz w:val="21"/>
                <w:szCs w:val="21"/>
              </w:rPr>
            </w:pPr>
            <w:r>
              <w:rPr>
                <w:sz w:val="21"/>
                <w:szCs w:val="21"/>
              </w:rPr>
              <w:t>人员访谈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63" w:type="pct"/>
            <w:vMerge w:val="restart"/>
            <w:vAlign w:val="center"/>
          </w:tcPr>
          <w:p>
            <w:pPr>
              <w:adjustRightInd w:val="0"/>
              <w:snapToGrid w:val="0"/>
              <w:jc w:val="center"/>
              <w:textAlignment w:val="center"/>
              <w:rPr>
                <w:sz w:val="21"/>
                <w:szCs w:val="21"/>
              </w:rPr>
            </w:pPr>
            <w:r>
              <w:rPr>
                <w:sz w:val="21"/>
                <w:szCs w:val="21"/>
              </w:rPr>
              <w:t>3</w:t>
            </w:r>
          </w:p>
        </w:tc>
        <w:tc>
          <w:tcPr>
            <w:tcW w:w="1069" w:type="pct"/>
            <w:vMerge w:val="restart"/>
            <w:vAlign w:val="center"/>
          </w:tcPr>
          <w:p>
            <w:pPr>
              <w:adjustRightInd w:val="0"/>
              <w:snapToGrid w:val="0"/>
              <w:jc w:val="center"/>
              <w:textAlignment w:val="center"/>
              <w:rPr>
                <w:sz w:val="21"/>
                <w:szCs w:val="21"/>
              </w:rPr>
            </w:pPr>
            <w:r>
              <w:rPr>
                <w:sz w:val="21"/>
                <w:szCs w:val="21"/>
              </w:rPr>
              <w:t>相邻地块利用变迁资料</w:t>
            </w:r>
          </w:p>
        </w:tc>
        <w:tc>
          <w:tcPr>
            <w:tcW w:w="1678" w:type="pct"/>
            <w:vAlign w:val="center"/>
          </w:tcPr>
          <w:p>
            <w:pPr>
              <w:adjustRightInd w:val="0"/>
              <w:snapToGrid w:val="0"/>
              <w:jc w:val="center"/>
              <w:textAlignment w:val="center"/>
              <w:rPr>
                <w:sz w:val="21"/>
                <w:szCs w:val="21"/>
              </w:rPr>
            </w:pPr>
            <w:r>
              <w:rPr>
                <w:sz w:val="21"/>
                <w:szCs w:val="21"/>
              </w:rPr>
              <w:t>相邻地块历史航拍图</w:t>
            </w:r>
          </w:p>
        </w:tc>
        <w:tc>
          <w:tcPr>
            <w:tcW w:w="1889" w:type="pct"/>
            <w:vAlign w:val="center"/>
          </w:tcPr>
          <w:p>
            <w:pPr>
              <w:adjustRightInd w:val="0"/>
              <w:snapToGrid w:val="0"/>
              <w:jc w:val="center"/>
              <w:textAlignment w:val="center"/>
              <w:rPr>
                <w:sz w:val="21"/>
                <w:szCs w:val="21"/>
              </w:rPr>
            </w:pPr>
            <w:r>
              <w:rPr>
                <w:sz w:val="21"/>
                <w:szCs w:val="21"/>
              </w:rPr>
              <w:t>浙江天地图、Google Earth历史影像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63" w:type="pct"/>
            <w:vMerge w:val="continue"/>
            <w:vAlign w:val="center"/>
          </w:tcPr>
          <w:p>
            <w:pPr>
              <w:adjustRightInd w:val="0"/>
              <w:snapToGrid w:val="0"/>
              <w:jc w:val="center"/>
              <w:textAlignment w:val="center"/>
              <w:rPr>
                <w:sz w:val="21"/>
                <w:szCs w:val="21"/>
              </w:rPr>
            </w:pPr>
          </w:p>
        </w:tc>
        <w:tc>
          <w:tcPr>
            <w:tcW w:w="1069" w:type="pct"/>
            <w:vMerge w:val="continue"/>
            <w:vAlign w:val="center"/>
          </w:tcPr>
          <w:p>
            <w:pPr>
              <w:adjustRightInd w:val="0"/>
              <w:snapToGrid w:val="0"/>
              <w:jc w:val="center"/>
              <w:textAlignment w:val="center"/>
              <w:rPr>
                <w:sz w:val="21"/>
                <w:szCs w:val="21"/>
              </w:rPr>
            </w:pPr>
          </w:p>
        </w:tc>
        <w:tc>
          <w:tcPr>
            <w:tcW w:w="1678" w:type="pct"/>
            <w:vAlign w:val="center"/>
          </w:tcPr>
          <w:p>
            <w:pPr>
              <w:adjustRightInd w:val="0"/>
              <w:snapToGrid w:val="0"/>
              <w:jc w:val="center"/>
              <w:textAlignment w:val="center"/>
              <w:rPr>
                <w:sz w:val="21"/>
                <w:szCs w:val="21"/>
              </w:rPr>
            </w:pPr>
            <w:r>
              <w:rPr>
                <w:sz w:val="21"/>
                <w:szCs w:val="21"/>
              </w:rPr>
              <w:t>相邻地块历史污染物产生情况</w:t>
            </w:r>
          </w:p>
        </w:tc>
        <w:tc>
          <w:tcPr>
            <w:tcW w:w="1889" w:type="pct"/>
            <w:vAlign w:val="center"/>
          </w:tcPr>
          <w:p>
            <w:pPr>
              <w:adjustRightInd w:val="0"/>
              <w:snapToGrid w:val="0"/>
              <w:jc w:val="center"/>
              <w:textAlignment w:val="center"/>
              <w:rPr>
                <w:sz w:val="21"/>
                <w:szCs w:val="21"/>
              </w:rPr>
            </w:pPr>
            <w:r>
              <w:rPr>
                <w:sz w:val="21"/>
                <w:szCs w:val="21"/>
              </w:rPr>
              <w:t>人员访谈、类比分析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63" w:type="pct"/>
            <w:vAlign w:val="center"/>
          </w:tcPr>
          <w:p>
            <w:pPr>
              <w:adjustRightInd w:val="0"/>
              <w:snapToGrid w:val="0"/>
              <w:jc w:val="center"/>
              <w:textAlignment w:val="center"/>
              <w:rPr>
                <w:sz w:val="21"/>
                <w:szCs w:val="21"/>
              </w:rPr>
            </w:pPr>
            <w:r>
              <w:rPr>
                <w:sz w:val="21"/>
                <w:szCs w:val="21"/>
              </w:rPr>
              <w:t>4</w:t>
            </w:r>
          </w:p>
        </w:tc>
        <w:tc>
          <w:tcPr>
            <w:tcW w:w="1069" w:type="pct"/>
            <w:vAlign w:val="center"/>
          </w:tcPr>
          <w:p>
            <w:pPr>
              <w:adjustRightInd w:val="0"/>
              <w:snapToGrid w:val="0"/>
              <w:jc w:val="center"/>
              <w:textAlignment w:val="center"/>
              <w:rPr>
                <w:sz w:val="21"/>
                <w:szCs w:val="21"/>
              </w:rPr>
            </w:pPr>
            <w:r>
              <w:rPr>
                <w:sz w:val="21"/>
                <w:szCs w:val="21"/>
              </w:rPr>
              <w:t>地块所在区域的自然环境信息</w:t>
            </w:r>
          </w:p>
        </w:tc>
        <w:tc>
          <w:tcPr>
            <w:tcW w:w="1678" w:type="pct"/>
            <w:vAlign w:val="center"/>
          </w:tcPr>
          <w:p>
            <w:pPr>
              <w:adjustRightInd w:val="0"/>
              <w:snapToGrid w:val="0"/>
              <w:jc w:val="center"/>
              <w:textAlignment w:val="center"/>
              <w:rPr>
                <w:sz w:val="21"/>
                <w:szCs w:val="21"/>
              </w:rPr>
            </w:pPr>
            <w:r>
              <w:rPr>
                <w:sz w:val="21"/>
                <w:szCs w:val="21"/>
              </w:rPr>
              <w:t>地形地貌、气候特征、水文特征、土壤与植被</w:t>
            </w:r>
          </w:p>
        </w:tc>
        <w:tc>
          <w:tcPr>
            <w:tcW w:w="1889" w:type="pct"/>
            <w:vAlign w:val="center"/>
          </w:tcPr>
          <w:p>
            <w:pPr>
              <w:adjustRightInd w:val="0"/>
              <w:snapToGrid w:val="0"/>
              <w:jc w:val="center"/>
              <w:textAlignment w:val="center"/>
              <w:rPr>
                <w:sz w:val="21"/>
                <w:szCs w:val="21"/>
              </w:rPr>
            </w:pPr>
            <w:r>
              <w:rPr>
                <w:sz w:val="21"/>
                <w:szCs w:val="21"/>
              </w:rPr>
              <w:t>网络查询</w:t>
            </w:r>
          </w:p>
        </w:tc>
      </w:tr>
    </w:tbl>
    <w:p>
      <w:pPr>
        <w:spacing w:line="440" w:lineRule="exact"/>
        <w:ind w:firstLine="480" w:firstLineChars="200"/>
        <w:rPr>
          <w:sz w:val="24"/>
          <w:szCs w:val="24"/>
        </w:rPr>
      </w:pPr>
      <w:r>
        <w:rPr>
          <w:sz w:val="24"/>
          <w:szCs w:val="24"/>
        </w:rPr>
        <w:t>通过以上收集到的其它资料分析，可得以下结论：</w:t>
      </w:r>
    </w:p>
    <w:p>
      <w:pPr>
        <w:spacing w:line="440" w:lineRule="exact"/>
        <w:ind w:firstLine="480" w:firstLineChars="200"/>
        <w:rPr>
          <w:sz w:val="24"/>
          <w:szCs w:val="24"/>
        </w:rPr>
      </w:pPr>
      <w:r>
        <w:rPr>
          <w:sz w:val="24"/>
          <w:szCs w:val="24"/>
        </w:rPr>
        <w:t>1、地块内历史上无建筑物、无硬化地面，曾是</w:t>
      </w:r>
      <w:r>
        <w:rPr>
          <w:rFonts w:hint="eastAsia"/>
          <w:sz w:val="24"/>
          <w:szCs w:val="24"/>
        </w:rPr>
        <w:t>耕地、</w:t>
      </w:r>
      <w:r>
        <w:rPr>
          <w:sz w:val="24"/>
          <w:szCs w:val="24"/>
        </w:rPr>
        <w:t>荒地</w:t>
      </w:r>
      <w:r>
        <w:rPr>
          <w:rFonts w:hint="eastAsia"/>
          <w:sz w:val="24"/>
          <w:szCs w:val="24"/>
        </w:rPr>
        <w:t>和池塘</w:t>
      </w:r>
      <w:r>
        <w:rPr>
          <w:sz w:val="24"/>
          <w:shd w:val="clear" w:color="auto" w:fill="FFFFFF"/>
        </w:rPr>
        <w:t>。</w:t>
      </w:r>
    </w:p>
    <w:p>
      <w:pPr>
        <w:spacing w:line="440" w:lineRule="exact"/>
        <w:ind w:firstLine="480" w:firstLineChars="200"/>
        <w:rPr>
          <w:sz w:val="24"/>
          <w:szCs w:val="24"/>
        </w:rPr>
      </w:pPr>
      <w:r>
        <w:rPr>
          <w:sz w:val="24"/>
          <w:szCs w:val="24"/>
        </w:rPr>
        <w:t>2、相邻地块现状为</w:t>
      </w:r>
      <w:r>
        <w:rPr>
          <w:rFonts w:hint="eastAsia"/>
          <w:sz w:val="24"/>
          <w:szCs w:val="24"/>
        </w:rPr>
        <w:t>耕地、荒地和池塘</w:t>
      </w:r>
      <w:r>
        <w:rPr>
          <w:sz w:val="24"/>
          <w:szCs w:val="24"/>
        </w:rPr>
        <w:t>。相邻地块历史上主要是</w:t>
      </w:r>
      <w:r>
        <w:rPr>
          <w:rFonts w:hint="eastAsia"/>
          <w:sz w:val="24"/>
          <w:szCs w:val="24"/>
        </w:rPr>
        <w:t>耕地、荒地和池塘</w:t>
      </w:r>
      <w:r>
        <w:rPr>
          <w:sz w:val="24"/>
          <w:szCs w:val="24"/>
        </w:rPr>
        <w:t>。</w:t>
      </w:r>
      <w:r>
        <w:rPr>
          <w:rFonts w:hint="eastAsia"/>
          <w:sz w:val="24"/>
          <w:szCs w:val="24"/>
        </w:rPr>
        <w:t>周边</w:t>
      </w:r>
      <w:r>
        <w:rPr>
          <w:sz w:val="24"/>
          <w:szCs w:val="24"/>
        </w:rPr>
        <w:t>地块</w:t>
      </w:r>
      <w:r>
        <w:rPr>
          <w:rFonts w:hint="eastAsia"/>
          <w:sz w:val="24"/>
          <w:szCs w:val="24"/>
        </w:rPr>
        <w:t>100</w:t>
      </w:r>
      <w:r>
        <w:rPr>
          <w:sz w:val="24"/>
          <w:szCs w:val="24"/>
        </w:rPr>
        <w:t>m</w:t>
      </w:r>
      <w:r>
        <w:rPr>
          <w:rFonts w:hint="eastAsia"/>
          <w:sz w:val="24"/>
          <w:szCs w:val="24"/>
        </w:rPr>
        <w:t>范围内无工业企业，1km范围内无重污染工业企业</w:t>
      </w:r>
      <w:r>
        <w:rPr>
          <w:sz w:val="24"/>
          <w:szCs w:val="24"/>
        </w:rPr>
        <w:t>。</w:t>
      </w:r>
    </w:p>
    <w:p>
      <w:pPr>
        <w:pStyle w:val="3"/>
        <w:spacing w:before="0" w:after="0" w:line="440" w:lineRule="exact"/>
        <w:jc w:val="left"/>
        <w:rPr>
          <w:rFonts w:ascii="Times New Roman" w:hAnsi="Times New Roman"/>
          <w:bCs w:val="0"/>
          <w:kern w:val="2"/>
          <w:sz w:val="32"/>
          <w:szCs w:val="32"/>
        </w:rPr>
        <w:sectPr>
          <w:pgSz w:w="11906" w:h="16838"/>
          <w:pgMar w:top="1418" w:right="1418" w:bottom="1418" w:left="1418" w:header="850" w:footer="850" w:gutter="0"/>
          <w:pgNumType w:fmt="numberInDash"/>
          <w:cols w:space="720" w:num="1"/>
          <w:docGrid w:type="lines" w:linePitch="312" w:charSpace="0"/>
        </w:sectPr>
      </w:pPr>
    </w:p>
    <w:p>
      <w:pPr>
        <w:pStyle w:val="3"/>
        <w:spacing w:before="0" w:after="0" w:line="440" w:lineRule="exact"/>
        <w:jc w:val="left"/>
        <w:rPr>
          <w:rFonts w:ascii="Times New Roman" w:hAnsi="Times New Roman"/>
          <w:bCs w:val="0"/>
          <w:kern w:val="2"/>
          <w:sz w:val="32"/>
          <w:szCs w:val="32"/>
        </w:rPr>
      </w:pPr>
      <w:bookmarkStart w:id="52" w:name="_Toc149641985"/>
      <w:r>
        <w:rPr>
          <w:rFonts w:ascii="Times New Roman" w:hAnsi="Times New Roman"/>
          <w:bCs w:val="0"/>
          <w:kern w:val="2"/>
          <w:sz w:val="32"/>
          <w:szCs w:val="32"/>
        </w:rPr>
        <w:t>5 现场踏勘和人员访谈</w:t>
      </w:r>
      <w:bookmarkEnd w:id="52"/>
    </w:p>
    <w:p>
      <w:pPr>
        <w:pStyle w:val="116"/>
        <w:rPr>
          <w:rFonts w:ascii="Times New Roman" w:hAnsi="Times New Roman" w:eastAsia="宋体"/>
          <w:szCs w:val="28"/>
        </w:rPr>
      </w:pPr>
      <w:bookmarkStart w:id="53" w:name="_Toc149641986"/>
      <w:r>
        <w:rPr>
          <w:rFonts w:ascii="Times New Roman" w:hAnsi="Times New Roman" w:eastAsia="宋体"/>
          <w:szCs w:val="28"/>
        </w:rPr>
        <w:t>5.1 现场踏勘</w:t>
      </w:r>
      <w:bookmarkEnd w:id="53"/>
    </w:p>
    <w:p>
      <w:pPr>
        <w:pStyle w:val="116"/>
        <w:outlineLvl w:val="2"/>
        <w:rPr>
          <w:rFonts w:ascii="Times New Roman" w:hAnsi="Times New Roman" w:eastAsia="宋体"/>
          <w:sz w:val="24"/>
        </w:rPr>
      </w:pPr>
      <w:bookmarkStart w:id="54" w:name="_Toc149641987"/>
      <w:r>
        <w:rPr>
          <w:rFonts w:ascii="Times New Roman" w:hAnsi="Times New Roman" w:eastAsia="宋体"/>
          <w:sz w:val="24"/>
        </w:rPr>
        <w:t>5.1.1 踏勘情况</w:t>
      </w:r>
      <w:bookmarkEnd w:id="54"/>
    </w:p>
    <w:p>
      <w:pPr>
        <w:spacing w:line="440" w:lineRule="exact"/>
        <w:ind w:firstLine="480" w:firstLineChars="200"/>
        <w:rPr>
          <w:sz w:val="24"/>
          <w:szCs w:val="24"/>
        </w:rPr>
      </w:pPr>
      <w:r>
        <w:rPr>
          <w:sz w:val="24"/>
          <w:szCs w:val="24"/>
        </w:rPr>
        <w:t>为调查地块的基本情况、判断污染来源和污染类型，我单位调查人员</w:t>
      </w:r>
      <w:r>
        <w:rPr>
          <w:rFonts w:hint="eastAsia"/>
          <w:sz w:val="24"/>
          <w:szCs w:val="24"/>
        </w:rPr>
        <w:t>于2023年9月26日</w:t>
      </w:r>
      <w:r>
        <w:rPr>
          <w:sz w:val="24"/>
          <w:szCs w:val="24"/>
        </w:rPr>
        <w:t>对地块进行了现场踏勘，具体踏勘情况详见表5.1-1。</w:t>
      </w:r>
    </w:p>
    <w:p>
      <w:pPr>
        <w:spacing w:line="460" w:lineRule="exact"/>
        <w:jc w:val="center"/>
        <w:rPr>
          <w:b/>
          <w:sz w:val="24"/>
          <w:szCs w:val="24"/>
        </w:rPr>
      </w:pPr>
      <w:r>
        <w:rPr>
          <w:b/>
          <w:sz w:val="24"/>
          <w:szCs w:val="24"/>
        </w:rPr>
        <w:t>表5.1-1  现场踏勘情况一览表</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4819"/>
        <w:gridCol w:w="3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34" w:type="dxa"/>
            <w:vAlign w:val="center"/>
          </w:tcPr>
          <w:p>
            <w:pPr>
              <w:adjustRightInd w:val="0"/>
              <w:snapToGrid w:val="0"/>
              <w:jc w:val="center"/>
              <w:textAlignment w:val="center"/>
              <w:rPr>
                <w:b/>
                <w:sz w:val="21"/>
                <w:szCs w:val="21"/>
              </w:rPr>
            </w:pPr>
            <w:r>
              <w:rPr>
                <w:b/>
                <w:sz w:val="21"/>
                <w:szCs w:val="21"/>
              </w:rPr>
              <w:t>序号</w:t>
            </w:r>
          </w:p>
        </w:tc>
        <w:tc>
          <w:tcPr>
            <w:tcW w:w="4819" w:type="dxa"/>
            <w:vAlign w:val="center"/>
          </w:tcPr>
          <w:p>
            <w:pPr>
              <w:adjustRightInd w:val="0"/>
              <w:snapToGrid w:val="0"/>
              <w:jc w:val="center"/>
              <w:textAlignment w:val="center"/>
              <w:rPr>
                <w:b/>
                <w:sz w:val="21"/>
                <w:szCs w:val="21"/>
              </w:rPr>
            </w:pPr>
            <w:r>
              <w:rPr>
                <w:b/>
                <w:sz w:val="21"/>
                <w:szCs w:val="21"/>
              </w:rPr>
              <w:t>现场踏勘内容</w:t>
            </w:r>
          </w:p>
        </w:tc>
        <w:tc>
          <w:tcPr>
            <w:tcW w:w="3933" w:type="dxa"/>
            <w:vAlign w:val="center"/>
          </w:tcPr>
          <w:p>
            <w:pPr>
              <w:adjustRightInd w:val="0"/>
              <w:snapToGrid w:val="0"/>
              <w:jc w:val="center"/>
              <w:textAlignment w:val="center"/>
              <w:rPr>
                <w:b/>
                <w:sz w:val="21"/>
                <w:szCs w:val="21"/>
              </w:rPr>
            </w:pPr>
            <w:r>
              <w:rPr>
                <w:b/>
                <w:sz w:val="21"/>
                <w:szCs w:val="21"/>
              </w:rPr>
              <w:t>实际踏勘情况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34" w:type="dxa"/>
            <w:vAlign w:val="center"/>
          </w:tcPr>
          <w:p>
            <w:pPr>
              <w:adjustRightInd w:val="0"/>
              <w:snapToGrid w:val="0"/>
              <w:jc w:val="center"/>
              <w:textAlignment w:val="center"/>
              <w:rPr>
                <w:sz w:val="21"/>
                <w:szCs w:val="21"/>
              </w:rPr>
            </w:pPr>
            <w:r>
              <w:rPr>
                <w:sz w:val="21"/>
                <w:szCs w:val="21"/>
              </w:rPr>
              <w:t>1</w:t>
            </w:r>
          </w:p>
        </w:tc>
        <w:tc>
          <w:tcPr>
            <w:tcW w:w="4819" w:type="dxa"/>
            <w:vAlign w:val="center"/>
          </w:tcPr>
          <w:p>
            <w:pPr>
              <w:adjustRightInd w:val="0"/>
              <w:snapToGrid w:val="0"/>
              <w:jc w:val="center"/>
              <w:textAlignment w:val="center"/>
              <w:rPr>
                <w:sz w:val="21"/>
                <w:szCs w:val="21"/>
              </w:rPr>
            </w:pPr>
            <w:r>
              <w:rPr>
                <w:sz w:val="21"/>
                <w:szCs w:val="21"/>
              </w:rPr>
              <w:t>调查地块内是否有已经被污染的痕迹，如植被损害、异味、地面腐蚀痕迹等。</w:t>
            </w:r>
          </w:p>
        </w:tc>
        <w:tc>
          <w:tcPr>
            <w:tcW w:w="3933" w:type="dxa"/>
            <w:vAlign w:val="center"/>
          </w:tcPr>
          <w:p>
            <w:pPr>
              <w:adjustRightInd w:val="0"/>
              <w:snapToGrid w:val="0"/>
              <w:jc w:val="center"/>
              <w:textAlignment w:val="center"/>
              <w:rPr>
                <w:sz w:val="21"/>
                <w:szCs w:val="21"/>
              </w:rPr>
            </w:pPr>
            <w:r>
              <w:rPr>
                <w:sz w:val="21"/>
                <w:szCs w:val="21"/>
              </w:rPr>
              <w:t>地块内未发现污染痕迹。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534" w:type="dxa"/>
            <w:vAlign w:val="center"/>
          </w:tcPr>
          <w:p>
            <w:pPr>
              <w:adjustRightInd w:val="0"/>
              <w:snapToGrid w:val="0"/>
              <w:jc w:val="center"/>
              <w:textAlignment w:val="center"/>
              <w:rPr>
                <w:sz w:val="21"/>
                <w:szCs w:val="21"/>
              </w:rPr>
            </w:pPr>
            <w:r>
              <w:rPr>
                <w:sz w:val="21"/>
                <w:szCs w:val="21"/>
              </w:rPr>
              <w:t>2</w:t>
            </w:r>
          </w:p>
        </w:tc>
        <w:tc>
          <w:tcPr>
            <w:tcW w:w="4819" w:type="dxa"/>
            <w:vAlign w:val="center"/>
          </w:tcPr>
          <w:p>
            <w:pPr>
              <w:adjustRightInd w:val="0"/>
              <w:snapToGrid w:val="0"/>
              <w:jc w:val="center"/>
              <w:textAlignment w:val="center"/>
              <w:rPr>
                <w:sz w:val="21"/>
                <w:szCs w:val="21"/>
              </w:rPr>
            </w:pPr>
            <w:r>
              <w:rPr>
                <w:sz w:val="21"/>
                <w:szCs w:val="21"/>
              </w:rPr>
              <w:t>查看地块内是否有可疑污染源。若存在可疑污染源，记录其位置、污染类型、有无防渗措施，分析有无发生污染的可能及可能的污染范围。</w:t>
            </w:r>
          </w:p>
        </w:tc>
        <w:tc>
          <w:tcPr>
            <w:tcW w:w="3933" w:type="dxa"/>
            <w:vAlign w:val="center"/>
          </w:tcPr>
          <w:p>
            <w:pPr>
              <w:adjustRightInd w:val="0"/>
              <w:snapToGrid w:val="0"/>
              <w:jc w:val="center"/>
              <w:textAlignment w:val="center"/>
              <w:rPr>
                <w:sz w:val="21"/>
                <w:szCs w:val="21"/>
              </w:rPr>
            </w:pPr>
            <w:r>
              <w:rPr>
                <w:sz w:val="21"/>
                <w:szCs w:val="21"/>
              </w:rPr>
              <w:t>地块内未发现可疑污染源。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34" w:type="dxa"/>
            <w:vAlign w:val="center"/>
          </w:tcPr>
          <w:p>
            <w:pPr>
              <w:adjustRightInd w:val="0"/>
              <w:snapToGrid w:val="0"/>
              <w:jc w:val="center"/>
              <w:textAlignment w:val="center"/>
              <w:rPr>
                <w:sz w:val="21"/>
                <w:szCs w:val="21"/>
              </w:rPr>
            </w:pPr>
            <w:r>
              <w:rPr>
                <w:sz w:val="21"/>
                <w:szCs w:val="21"/>
              </w:rPr>
              <w:t>3</w:t>
            </w:r>
          </w:p>
        </w:tc>
        <w:tc>
          <w:tcPr>
            <w:tcW w:w="4819" w:type="dxa"/>
            <w:vAlign w:val="center"/>
          </w:tcPr>
          <w:p>
            <w:pPr>
              <w:adjustRightInd w:val="0"/>
              <w:snapToGrid w:val="0"/>
              <w:jc w:val="center"/>
              <w:textAlignment w:val="center"/>
              <w:rPr>
                <w:sz w:val="21"/>
                <w:szCs w:val="21"/>
              </w:rPr>
            </w:pPr>
            <w:r>
              <w:rPr>
                <w:sz w:val="21"/>
                <w:szCs w:val="21"/>
              </w:rPr>
              <w:t>重点查看现在及曾经涉及有毒有害或危险物质的场所，如地上、地下存储设施及其配套的输送管线情况、各类集水池、存放电力及液压设备的场所。调查以上场所中涉及相关物质的存储容器的数量、种类、有无损坏痕迹、有无残留污染物等情况。</w:t>
            </w:r>
          </w:p>
        </w:tc>
        <w:tc>
          <w:tcPr>
            <w:tcW w:w="3933" w:type="dxa"/>
            <w:vAlign w:val="center"/>
          </w:tcPr>
          <w:p>
            <w:pPr>
              <w:adjustRightInd w:val="0"/>
              <w:snapToGrid w:val="0"/>
              <w:jc w:val="center"/>
              <w:textAlignment w:val="center"/>
              <w:rPr>
                <w:sz w:val="21"/>
                <w:szCs w:val="21"/>
              </w:rPr>
            </w:pPr>
            <w:r>
              <w:rPr>
                <w:sz w:val="21"/>
                <w:szCs w:val="21"/>
              </w:rPr>
              <w:t>地块内未发现历史遗留的有毒有害或危险物质的场所的痕迹。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34" w:type="dxa"/>
            <w:vAlign w:val="center"/>
          </w:tcPr>
          <w:p>
            <w:pPr>
              <w:adjustRightInd w:val="0"/>
              <w:snapToGrid w:val="0"/>
              <w:jc w:val="center"/>
              <w:textAlignment w:val="center"/>
              <w:rPr>
                <w:sz w:val="21"/>
                <w:szCs w:val="21"/>
              </w:rPr>
            </w:pPr>
            <w:r>
              <w:rPr>
                <w:sz w:val="21"/>
                <w:szCs w:val="21"/>
              </w:rPr>
              <w:t>4</w:t>
            </w:r>
          </w:p>
        </w:tc>
        <w:tc>
          <w:tcPr>
            <w:tcW w:w="4819" w:type="dxa"/>
            <w:vAlign w:val="center"/>
          </w:tcPr>
          <w:p>
            <w:pPr>
              <w:adjustRightInd w:val="0"/>
              <w:snapToGrid w:val="0"/>
              <w:jc w:val="center"/>
              <w:textAlignment w:val="center"/>
              <w:rPr>
                <w:sz w:val="21"/>
                <w:szCs w:val="21"/>
              </w:rPr>
            </w:pPr>
            <w:r>
              <w:rPr>
                <w:sz w:val="21"/>
                <w:szCs w:val="21"/>
              </w:rPr>
              <w:t>重点查看地块内现存建筑以及曾经存在建筑物的位置。查看这些区域是否存在由于化学品腐蚀和泄漏造成污染的痕迹。</w:t>
            </w:r>
          </w:p>
        </w:tc>
        <w:tc>
          <w:tcPr>
            <w:tcW w:w="3933" w:type="dxa"/>
            <w:vAlign w:val="center"/>
          </w:tcPr>
          <w:p>
            <w:pPr>
              <w:adjustRightInd w:val="0"/>
              <w:snapToGrid w:val="0"/>
              <w:jc w:val="center"/>
              <w:textAlignment w:val="center"/>
              <w:rPr>
                <w:sz w:val="21"/>
                <w:szCs w:val="21"/>
              </w:rPr>
            </w:pPr>
            <w:r>
              <w:rPr>
                <w:sz w:val="21"/>
                <w:szCs w:val="21"/>
              </w:rPr>
              <w:t>地块内无建筑物、无硬化地面，地面未发现使用化学品的迹象。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34" w:type="dxa"/>
            <w:vAlign w:val="center"/>
          </w:tcPr>
          <w:p>
            <w:pPr>
              <w:adjustRightInd w:val="0"/>
              <w:snapToGrid w:val="0"/>
              <w:jc w:val="center"/>
              <w:textAlignment w:val="center"/>
              <w:rPr>
                <w:sz w:val="21"/>
                <w:szCs w:val="21"/>
              </w:rPr>
            </w:pPr>
            <w:r>
              <w:rPr>
                <w:sz w:val="21"/>
                <w:szCs w:val="21"/>
              </w:rPr>
              <w:t>5</w:t>
            </w:r>
          </w:p>
        </w:tc>
        <w:tc>
          <w:tcPr>
            <w:tcW w:w="4819" w:type="dxa"/>
            <w:vAlign w:val="center"/>
          </w:tcPr>
          <w:p>
            <w:pPr>
              <w:adjustRightInd w:val="0"/>
              <w:snapToGrid w:val="0"/>
              <w:jc w:val="center"/>
              <w:textAlignment w:val="center"/>
              <w:rPr>
                <w:sz w:val="21"/>
                <w:szCs w:val="21"/>
              </w:rPr>
            </w:pPr>
            <w:r>
              <w:rPr>
                <w:sz w:val="21"/>
                <w:szCs w:val="21"/>
              </w:rPr>
              <w:t>查看地块内有无建筑垃圾和固体废物的堆积情况。</w:t>
            </w:r>
          </w:p>
        </w:tc>
        <w:tc>
          <w:tcPr>
            <w:tcW w:w="3933" w:type="dxa"/>
            <w:vAlign w:val="center"/>
          </w:tcPr>
          <w:p>
            <w:pPr>
              <w:adjustRightInd w:val="0"/>
              <w:snapToGrid w:val="0"/>
              <w:jc w:val="center"/>
              <w:textAlignment w:val="center"/>
              <w:rPr>
                <w:sz w:val="21"/>
                <w:szCs w:val="21"/>
              </w:rPr>
            </w:pPr>
            <w:r>
              <w:rPr>
                <w:sz w:val="21"/>
                <w:szCs w:val="21"/>
              </w:rPr>
              <w:t>地块内</w:t>
            </w:r>
            <w:r>
              <w:rPr>
                <w:rFonts w:hint="eastAsia"/>
                <w:sz w:val="21"/>
                <w:szCs w:val="21"/>
              </w:rPr>
              <w:t>基本</w:t>
            </w:r>
            <w:r>
              <w:rPr>
                <w:sz w:val="21"/>
                <w:szCs w:val="21"/>
              </w:rPr>
              <w:t>无建筑垃圾和固体废物的堆积。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34" w:type="dxa"/>
            <w:vAlign w:val="center"/>
          </w:tcPr>
          <w:p>
            <w:pPr>
              <w:adjustRightInd w:val="0"/>
              <w:snapToGrid w:val="0"/>
              <w:jc w:val="center"/>
              <w:textAlignment w:val="center"/>
              <w:rPr>
                <w:sz w:val="21"/>
                <w:szCs w:val="21"/>
              </w:rPr>
            </w:pPr>
            <w:r>
              <w:rPr>
                <w:sz w:val="21"/>
                <w:szCs w:val="21"/>
              </w:rPr>
              <w:t>6</w:t>
            </w:r>
          </w:p>
        </w:tc>
        <w:tc>
          <w:tcPr>
            <w:tcW w:w="4819" w:type="dxa"/>
            <w:vAlign w:val="center"/>
          </w:tcPr>
          <w:p>
            <w:pPr>
              <w:adjustRightInd w:val="0"/>
              <w:snapToGrid w:val="0"/>
              <w:jc w:val="center"/>
              <w:textAlignment w:val="center"/>
              <w:rPr>
                <w:sz w:val="21"/>
                <w:szCs w:val="21"/>
              </w:rPr>
            </w:pPr>
            <w:r>
              <w:rPr>
                <w:sz w:val="21"/>
                <w:szCs w:val="21"/>
              </w:rPr>
              <w:t>查看地块内所有水井(如有)中水的颜色、气味等，判断是否存在水质异常情况。</w:t>
            </w:r>
          </w:p>
        </w:tc>
        <w:tc>
          <w:tcPr>
            <w:tcW w:w="3933" w:type="dxa"/>
            <w:vAlign w:val="center"/>
          </w:tcPr>
          <w:p>
            <w:pPr>
              <w:adjustRightInd w:val="0"/>
              <w:snapToGrid w:val="0"/>
              <w:jc w:val="center"/>
              <w:textAlignment w:val="center"/>
              <w:rPr>
                <w:sz w:val="21"/>
                <w:szCs w:val="21"/>
              </w:rPr>
            </w:pPr>
            <w:r>
              <w:rPr>
                <w:sz w:val="21"/>
                <w:szCs w:val="21"/>
              </w:rPr>
              <w:t>地块内未发现水井。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534" w:type="dxa"/>
            <w:vAlign w:val="center"/>
          </w:tcPr>
          <w:p>
            <w:pPr>
              <w:adjustRightInd w:val="0"/>
              <w:snapToGrid w:val="0"/>
              <w:jc w:val="center"/>
              <w:textAlignment w:val="center"/>
              <w:rPr>
                <w:sz w:val="21"/>
                <w:szCs w:val="21"/>
              </w:rPr>
            </w:pPr>
            <w:r>
              <w:rPr>
                <w:sz w:val="21"/>
                <w:szCs w:val="21"/>
              </w:rPr>
              <w:t>7</w:t>
            </w:r>
          </w:p>
        </w:tc>
        <w:tc>
          <w:tcPr>
            <w:tcW w:w="4819" w:type="dxa"/>
            <w:vAlign w:val="center"/>
          </w:tcPr>
          <w:p>
            <w:pPr>
              <w:adjustRightInd w:val="0"/>
              <w:snapToGrid w:val="0"/>
              <w:jc w:val="center"/>
              <w:textAlignment w:val="center"/>
              <w:rPr>
                <w:sz w:val="21"/>
                <w:szCs w:val="21"/>
              </w:rPr>
            </w:pPr>
            <w:r>
              <w:rPr>
                <w:sz w:val="21"/>
                <w:szCs w:val="21"/>
              </w:rPr>
              <w:t>查看地块周边相邻区域的污染情况。</w:t>
            </w:r>
          </w:p>
        </w:tc>
        <w:tc>
          <w:tcPr>
            <w:tcW w:w="3933" w:type="dxa"/>
            <w:vAlign w:val="center"/>
          </w:tcPr>
          <w:p>
            <w:pPr>
              <w:adjustRightInd w:val="0"/>
              <w:snapToGrid w:val="0"/>
              <w:jc w:val="center"/>
              <w:textAlignment w:val="center"/>
              <w:rPr>
                <w:sz w:val="21"/>
                <w:szCs w:val="21"/>
              </w:rPr>
            </w:pPr>
            <w:r>
              <w:rPr>
                <w:rFonts w:hint="eastAsia"/>
                <w:sz w:val="21"/>
                <w:szCs w:val="21"/>
              </w:rPr>
              <w:t>地块东至东俞村耕地，隔耕地为东俞村；南至东俞村荒地，隔荒地为临江东路；西至东俞村荒地，隔荒地为地表水白沙溪；北至东俞村耕地和池塘。</w:t>
            </w:r>
            <w:r>
              <w:rPr>
                <w:sz w:val="21"/>
                <w:szCs w:val="21"/>
              </w:rPr>
              <w:t>周边相邻区域</w:t>
            </w:r>
            <w:r>
              <w:rPr>
                <w:rFonts w:hint="eastAsia"/>
                <w:sz w:val="21"/>
                <w:szCs w:val="21"/>
              </w:rPr>
              <w:t>未</w:t>
            </w:r>
            <w:r>
              <w:rPr>
                <w:sz w:val="21"/>
                <w:szCs w:val="21"/>
              </w:rPr>
              <w:t>发现污染迹象。</w:t>
            </w:r>
          </w:p>
        </w:tc>
      </w:tr>
    </w:tbl>
    <w:p>
      <w:pPr>
        <w:spacing w:line="440" w:lineRule="exact"/>
        <w:ind w:firstLine="480" w:firstLineChars="200"/>
        <w:rPr>
          <w:sz w:val="24"/>
          <w:szCs w:val="24"/>
        </w:rPr>
      </w:pPr>
      <w:r>
        <w:rPr>
          <w:sz w:val="24"/>
          <w:szCs w:val="24"/>
        </w:rPr>
        <w:t>通过现场踏勘，了解到：该地块目前正在进行</w:t>
      </w:r>
      <w:r>
        <w:rPr>
          <w:rFonts w:hint="eastAsia"/>
          <w:sz w:val="24"/>
          <w:szCs w:val="24"/>
        </w:rPr>
        <w:t>地面平整</w:t>
      </w:r>
      <w:r>
        <w:rPr>
          <w:sz w:val="24"/>
          <w:szCs w:val="24"/>
        </w:rPr>
        <w:t>。地块内无建筑物、</w:t>
      </w:r>
      <w:r>
        <w:rPr>
          <w:rFonts w:hint="eastAsia"/>
          <w:sz w:val="24"/>
          <w:szCs w:val="24"/>
        </w:rPr>
        <w:t>基本</w:t>
      </w:r>
      <w:r>
        <w:rPr>
          <w:sz w:val="24"/>
          <w:szCs w:val="24"/>
        </w:rPr>
        <w:t>无建筑垃圾和固体废物堆放和填埋，无可疑污染源、无污染痕迹。</w:t>
      </w:r>
    </w:p>
    <w:p>
      <w:pPr>
        <w:pStyle w:val="116"/>
        <w:outlineLvl w:val="2"/>
        <w:rPr>
          <w:rFonts w:ascii="Times New Roman" w:hAnsi="Times New Roman" w:eastAsia="宋体"/>
          <w:sz w:val="24"/>
        </w:rPr>
      </w:pPr>
      <w:bookmarkStart w:id="55" w:name="_Toc149641988"/>
      <w:r>
        <w:rPr>
          <w:rFonts w:ascii="Times New Roman" w:hAnsi="Times New Roman" w:eastAsia="宋体"/>
          <w:sz w:val="24"/>
        </w:rPr>
        <w:t>5.1.2 现场土壤快筛检测</w:t>
      </w:r>
      <w:bookmarkEnd w:id="55"/>
    </w:p>
    <w:p>
      <w:pPr>
        <w:pStyle w:val="116"/>
        <w:outlineLvl w:val="3"/>
        <w:rPr>
          <w:rFonts w:ascii="Times New Roman" w:hAnsi="Times New Roman" w:eastAsia="宋体"/>
          <w:b w:val="0"/>
          <w:bCs w:val="0"/>
          <w:sz w:val="24"/>
          <w:szCs w:val="24"/>
        </w:rPr>
      </w:pPr>
      <w:bookmarkStart w:id="56" w:name="_Toc149641989"/>
      <w:r>
        <w:rPr>
          <w:rFonts w:ascii="Times New Roman" w:hAnsi="Times New Roman" w:eastAsia="宋体"/>
          <w:b w:val="0"/>
          <w:bCs w:val="0"/>
          <w:sz w:val="24"/>
          <w:szCs w:val="24"/>
        </w:rPr>
        <w:t>5.1.2.1土壤快筛布点</w:t>
      </w:r>
      <w:bookmarkEnd w:id="56"/>
    </w:p>
    <w:p>
      <w:pPr>
        <w:spacing w:line="360" w:lineRule="auto"/>
        <w:ind w:firstLine="480" w:firstLineChars="200"/>
        <w:rPr>
          <w:sz w:val="24"/>
          <w:szCs w:val="24"/>
        </w:rPr>
      </w:pPr>
      <w:r>
        <w:rPr>
          <w:rFonts w:hint="eastAsia"/>
          <w:sz w:val="24"/>
          <w:szCs w:val="24"/>
        </w:rPr>
        <w:t>经过对现有资料的整理，综合分析现场踏勘及人员访谈得出的成果内容，第一阶段调查基本确定该地块在历史上未开设过工业企业及家庭小作坊使用、未堆放过有毒有害物质、未发生过有毒有害物质泄漏及其他类型重大污染事件，地块本身土地未散发出异味，也没有明显的土壤污染痕迹。</w:t>
      </w:r>
    </w:p>
    <w:p>
      <w:pPr>
        <w:spacing w:line="360" w:lineRule="auto"/>
        <w:ind w:firstLine="480" w:firstLineChars="200"/>
        <w:rPr>
          <w:sz w:val="24"/>
          <w:szCs w:val="24"/>
        </w:rPr>
      </w:pPr>
      <w:r>
        <w:rPr>
          <w:rFonts w:hint="eastAsia"/>
          <w:sz w:val="24"/>
          <w:szCs w:val="24"/>
        </w:rPr>
        <w:t>地块历史上不曾有过废水排放和危化品泄漏痕迹，现场未发现明显的受污染情况。由此初步认为该地块不存在明显的受污染情况。</w:t>
      </w:r>
    </w:p>
    <w:p>
      <w:pPr>
        <w:spacing w:line="360" w:lineRule="auto"/>
        <w:ind w:firstLine="480" w:firstLineChars="200"/>
        <w:rPr>
          <w:sz w:val="24"/>
          <w:szCs w:val="24"/>
        </w:rPr>
      </w:pPr>
      <w:r>
        <w:rPr>
          <w:rFonts w:hint="eastAsia"/>
          <w:sz w:val="24"/>
          <w:szCs w:val="24"/>
        </w:rPr>
        <w:t>然而鉴于此历史情况的存在，为了确认当下地块土壤的实际受污染情况，本次调查对地块表层样品进行现场快速检测。一旦发现数据异常，将对本次调查地块进行第二阶段土壤污染状况调查，若快筛数据正常，则结合前期第一阶段调查情况分析结果为本地块无可能的污染源，调查活动可以结束。</w:t>
      </w:r>
    </w:p>
    <w:p>
      <w:pPr>
        <w:spacing w:line="440" w:lineRule="exact"/>
        <w:ind w:firstLine="480" w:firstLineChars="200"/>
        <w:rPr>
          <w:sz w:val="24"/>
          <w:szCs w:val="24"/>
        </w:rPr>
      </w:pPr>
      <w:r>
        <w:rPr>
          <w:rFonts w:hint="eastAsia"/>
          <w:sz w:val="24"/>
          <w:szCs w:val="24"/>
        </w:rPr>
        <w:t>本次土壤快筛共设26个点位，地块内25个点位和地块外1个点位，我单位调查人员于2023年10月19日对地块进行快筛采样及检测。</w:t>
      </w:r>
      <w:r>
        <w:rPr>
          <w:sz w:val="24"/>
          <w:szCs w:val="24"/>
        </w:rPr>
        <w:t>土壤快筛布点图详见图5.1-1，土壤快筛布点依据详见表5.1-2。</w:t>
      </w:r>
    </w:p>
    <w:p>
      <w:pPr>
        <w:pStyle w:val="2"/>
        <w:spacing w:line="360" w:lineRule="auto"/>
        <w:jc w:val="center"/>
        <w:rPr>
          <w:rFonts w:ascii="Times New Roman" w:hAnsi="Times New Roman"/>
        </w:rPr>
        <w:sectPr>
          <w:pgSz w:w="11906" w:h="16838"/>
          <w:pgMar w:top="1418" w:right="1418" w:bottom="1418" w:left="1418" w:header="850" w:footer="850" w:gutter="0"/>
          <w:pgNumType w:fmt="numberInDash"/>
          <w:cols w:space="720" w:num="1"/>
          <w:docGrid w:type="lines" w:linePitch="312" w:charSpace="0"/>
        </w:sectPr>
      </w:pPr>
    </w:p>
    <w:p>
      <w:pPr>
        <w:pStyle w:val="2"/>
        <w:spacing w:line="360" w:lineRule="auto"/>
        <w:jc w:val="center"/>
        <w:rPr>
          <w:rFonts w:ascii="Times New Roman" w:hAnsi="Times New Roman"/>
        </w:rPr>
      </w:pPr>
      <w:r>
        <w:rPr>
          <w:sz w:val="24"/>
        </w:rPr>
        <mc:AlternateContent>
          <mc:Choice Requires="wpg">
            <w:drawing>
              <wp:anchor distT="0" distB="0" distL="114300" distR="114300" simplePos="0" relativeHeight="251666432" behindDoc="0" locked="0" layoutInCell="1" allowOverlap="1">
                <wp:simplePos x="0" y="0"/>
                <wp:positionH relativeFrom="column">
                  <wp:posOffset>7292975</wp:posOffset>
                </wp:positionH>
                <wp:positionV relativeFrom="paragraph">
                  <wp:posOffset>23495</wp:posOffset>
                </wp:positionV>
                <wp:extent cx="695960" cy="906780"/>
                <wp:effectExtent l="0" t="8255" r="0" b="18415"/>
                <wp:wrapNone/>
                <wp:docPr id="183" name="组合 183"/>
                <wp:cNvGraphicFramePr/>
                <a:graphic xmlns:a="http://schemas.openxmlformats.org/drawingml/2006/main">
                  <a:graphicData uri="http://schemas.microsoft.com/office/word/2010/wordprocessingGroup">
                    <wpg:wgp>
                      <wpg:cNvGrpSpPr/>
                      <wpg:grpSpPr>
                        <a:xfrm>
                          <a:off x="0" y="0"/>
                          <a:ext cx="695960" cy="906780"/>
                          <a:chOff x="4641" y="210283"/>
                          <a:chExt cx="796" cy="1196"/>
                        </a:xfrm>
                      </wpg:grpSpPr>
                      <wps:wsp>
                        <wps:cNvPr id="184" name="矩形 396"/>
                        <wps:cNvSpPr>
                          <a:spLocks noChangeArrowheads="1"/>
                        </wps:cNvSpPr>
                        <wps:spPr bwMode="auto">
                          <a:xfrm>
                            <a:off x="4789" y="210283"/>
                            <a:ext cx="459" cy="1196"/>
                          </a:xfrm>
                          <a:prstGeom prst="rect">
                            <a:avLst/>
                          </a:prstGeom>
                          <a:gradFill rotWithShape="0">
                            <a:gsLst>
                              <a:gs pos="0">
                                <a:srgbClr val="FFFFFF"/>
                              </a:gs>
                              <a:gs pos="100000">
                                <a:srgbClr val="FFFFFF"/>
                              </a:gs>
                            </a:gsLst>
                            <a:lin ang="0"/>
                          </a:gradFill>
                          <a:ln w="15875">
                            <a:solidFill>
                              <a:srgbClr val="000000"/>
                            </a:solidFill>
                            <a:miter lim="800000"/>
                          </a:ln>
                        </wps:spPr>
                        <wps:txbx>
                          <w:txbxContent>
                            <w:p>
                              <w:pPr>
                                <w:jc w:val="center"/>
                                <w:rPr>
                                  <w:b/>
                                  <w:bCs/>
                                  <w:sz w:val="28"/>
                                  <w:szCs w:val="24"/>
                                </w:rPr>
                              </w:pPr>
                              <w:r>
                                <w:rPr>
                                  <w:rFonts w:hint="eastAsia"/>
                                  <w:b/>
                                  <w:bCs/>
                                  <w:sz w:val="28"/>
                                  <w:szCs w:val="24"/>
                                </w:rPr>
                                <w:t>N</w:t>
                              </w:r>
                            </w:p>
                          </w:txbxContent>
                        </wps:txbx>
                        <wps:bodyPr rot="0" vert="horz" wrap="square" lIns="91440" tIns="45720" rIns="91440" bIns="45720" anchor="t" anchorCtr="0" upright="1">
                          <a:noAutofit/>
                        </wps:bodyPr>
                      </wps:wsp>
                      <pic:pic xmlns:pic="http://schemas.openxmlformats.org/drawingml/2006/picture">
                        <pic:nvPicPr>
                          <pic:cNvPr id="185" name="图片 397" descr="templates\docerresourceshop\icons\\343435383138313b333633373737333bbcfdcdb7"/>
                          <pic:cNvPicPr>
                            <a:picLocks noChangeAspect="1" noChangeArrowheads="1"/>
                          </pic:cNvPicPr>
                        </pic:nvPicPr>
                        <pic:blipFill>
                          <a:blip r:embed="rId32"/>
                          <a:srcRect/>
                          <a:stretch>
                            <a:fillRect/>
                          </a:stretch>
                        </pic:blipFill>
                        <pic:spPr>
                          <a:xfrm>
                            <a:off x="4641" y="210662"/>
                            <a:ext cx="796" cy="707"/>
                          </a:xfrm>
                          <a:prstGeom prst="rect">
                            <a:avLst/>
                          </a:prstGeom>
                          <a:noFill/>
                          <a:ln>
                            <a:noFill/>
                          </a:ln>
                        </pic:spPr>
                      </pic:pic>
                    </wpg:wgp>
                  </a:graphicData>
                </a:graphic>
              </wp:anchor>
            </w:drawing>
          </mc:Choice>
          <mc:Fallback>
            <w:pict>
              <v:group id="_x0000_s1026" o:spid="_x0000_s1026" o:spt="203" style="position:absolute;left:0pt;margin-left:574.25pt;margin-top:1.85pt;height:71.4pt;width:54.8pt;z-index:251666432;mso-width-relative:page;mso-height-relative:page;" coordorigin="4641,210283" coordsize="796,1196" o:gfxdata="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qJg6+tgAAACEBAAAZ&#10;AAAAZHJzL19yZWxzL2Uyb0RvYy54bWwucmVsc4WPQWrDMBBF94XcQcw+lp1FKMWyN6HgbUgOMEhj&#10;WcQaCUkt9e0jyCaBQJfzP/89ph///Cp+KWUXWEHXtCCIdTCOrYLr5Xv/CSIXZINrYFKwUYZx2H30&#10;Z1qx1FFeXMyiUjgrWEqJX1JmvZDH3IRIXJs5JI+lnsnKiPqGluShbY8yPTNgeGGKyShIk+lAXLZY&#10;zf+zwzw7TaegfzxxeaOQzld3BWKyVBR4Mg4fYddEtiCHXr48Ntw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">
                <o:lock v:ext="edit" aspectratio="f"/>
                <v:rect id="矩形 396" o:spid="_x0000_s1026" o:spt="1" style="position:absolute;left:4789;top:210283;height:1196;width:459;" fillcolor="#FFFFFF" filled="t" stroked="t" coordsize="21600,21600" o:gfxdata="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xuVpLsAAADc&#10;AAAADwAAAAAAAAABACAAAAAiAAAAZHJzL2Rvd25yZXYueG1sUEsBAhQAFAAAAAgAh07iQDMvBZ47&#10;AAAAOQAAABAAAAAAAAAAAQAgAAAACgEAAGRycy9zaGFwZXhtbC54bWxQSwUGAAAAAAYABgBbAQAA&#10;tAMAAAAA&#10;">
                  <v:fill type="gradient" on="t" color2="#FFFFFF" angle="90" focus="100%" focussize="0,0">
                    <o:fill type="gradientUnscaled" v:ext="backwardCompatible"/>
                  </v:fill>
                  <v:stroke weight="1.25pt" color="#000000" miterlimit="8" joinstyle="miter"/>
                  <v:imagedata o:title=""/>
                  <o:lock v:ext="edit" aspectratio="f"/>
                  <v:textbox>
                    <w:txbxContent>
                      <w:p>
                        <w:pPr>
                          <w:jc w:val="center"/>
                          <w:rPr>
                            <w:b/>
                            <w:bCs/>
                            <w:sz w:val="28"/>
                            <w:szCs w:val="24"/>
                          </w:rPr>
                        </w:pPr>
                        <w:r>
                          <w:rPr>
                            <w:rFonts w:hint="eastAsia"/>
                            <w:b/>
                            <w:bCs/>
                            <w:sz w:val="28"/>
                            <w:szCs w:val="24"/>
                          </w:rPr>
                          <w:t>N</w:t>
                        </w:r>
                      </w:p>
                    </w:txbxContent>
                  </v:textbox>
                </v:rect>
                <v:shape id="图片 397" o:spid="_x0000_s1026" o:spt="75" alt="templates\docerresourceshop\icons\\343435383138313b333633373737333bbcfdcdb7" type="#_x0000_t75" style="position:absolute;left:4641;top:210662;height:707;width:796;" filled="f" o:preferrelative="t" stroked="f" coordsize="21600,21600" o:gfxdata="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PaF67sAAADc&#10;AAAADwAAAAAAAAABACAAAAAiAAAAZHJzL2Rvd25yZXYueG1sUEsBAhQAFAAAAAgAh07iQDMvBZ47&#10;AAAAOQAAABAAAAAAAAAAAQAgAAAACgEAAGRycy9zaGFwZXhtbC54bWxQSwUGAAAAAAYABgBbAQAA&#10;tAMAAAAA&#10;">
                  <v:fill on="f" focussize="0,0"/>
                  <v:stroke on="f"/>
                  <v:imagedata r:id="rId32" o:title=""/>
                  <o:lock v:ext="edit" aspectratio="t"/>
                </v:shape>
              </v:group>
            </w:pict>
          </mc:Fallback>
        </mc:AlternateContent>
      </w:r>
      <w:r>
        <w:rPr>
          <w:sz w:val="24"/>
        </w:rPr>
        <mc:AlternateContent>
          <mc:Choice Requires="wpg">
            <w:drawing>
              <wp:anchor distT="0" distB="0" distL="114300" distR="114300" simplePos="0" relativeHeight="251665408" behindDoc="0" locked="0" layoutInCell="1" allowOverlap="1">
                <wp:simplePos x="0" y="0"/>
                <wp:positionH relativeFrom="column">
                  <wp:posOffset>1052195</wp:posOffset>
                </wp:positionH>
                <wp:positionV relativeFrom="paragraph">
                  <wp:posOffset>4930775</wp:posOffset>
                </wp:positionV>
                <wp:extent cx="1408430" cy="381000"/>
                <wp:effectExtent l="13970" t="15875" r="15875" b="12700"/>
                <wp:wrapNone/>
                <wp:docPr id="180" name="组合 180"/>
                <wp:cNvGraphicFramePr/>
                <a:graphic xmlns:a="http://schemas.openxmlformats.org/drawingml/2006/main">
                  <a:graphicData uri="http://schemas.microsoft.com/office/word/2010/wordprocessingGroup">
                    <wpg:wgp>
                      <wpg:cNvGrpSpPr/>
                      <wpg:grpSpPr>
                        <a:xfrm>
                          <a:off x="0" y="0"/>
                          <a:ext cx="1408430" cy="381000"/>
                          <a:chOff x="4560" y="948776"/>
                          <a:chExt cx="2218" cy="600"/>
                        </a:xfrm>
                      </wpg:grpSpPr>
                      <wps:wsp>
                        <wps:cNvPr id="181" name="矩形 393"/>
                        <wps:cNvSpPr>
                          <a:spLocks noChangeArrowheads="1"/>
                        </wps:cNvSpPr>
                        <wps:spPr bwMode="auto">
                          <a:xfrm>
                            <a:off x="4560" y="948776"/>
                            <a:ext cx="2219" cy="600"/>
                          </a:xfrm>
                          <a:prstGeom prst="rect">
                            <a:avLst/>
                          </a:prstGeom>
                          <a:gradFill rotWithShape="0">
                            <a:gsLst>
                              <a:gs pos="0">
                                <a:srgbClr val="FFFFFF"/>
                              </a:gs>
                              <a:gs pos="100000">
                                <a:srgbClr val="FFFFFF"/>
                              </a:gs>
                            </a:gsLst>
                            <a:lin ang="0"/>
                          </a:gradFill>
                          <a:ln w="15875">
                            <a:solidFill>
                              <a:srgbClr val="739CC3"/>
                            </a:solidFill>
                            <a:miter lim="800000"/>
                          </a:ln>
                        </wps:spPr>
                        <wps:txbx>
                          <w:txbxContent>
                            <w:p>
                              <w:pPr>
                                <w:spacing w:line="360" w:lineRule="auto"/>
                                <w:jc w:val="left"/>
                                <w:rPr>
                                  <w:b/>
                                  <w:bCs/>
                                  <w:sz w:val="28"/>
                                  <w:szCs w:val="28"/>
                                </w:rPr>
                              </w:pPr>
                              <w:r>
                                <w:rPr>
                                  <w:rFonts w:hint="eastAsia"/>
                                  <w:b/>
                                  <w:bCs/>
                                  <w:sz w:val="28"/>
                                  <w:szCs w:val="28"/>
                                </w:rPr>
                                <w:t>检测点位：</w:t>
                              </w:r>
                            </w:p>
                          </w:txbxContent>
                        </wps:txbx>
                        <wps:bodyPr rot="0" vert="horz" wrap="square" lIns="91440" tIns="45720" rIns="91440" bIns="45720" anchor="t" anchorCtr="0" upright="1">
                          <a:noAutofit/>
                        </wps:bodyPr>
                      </wps:wsp>
                      <wps:wsp>
                        <wps:cNvPr id="182" name="自选图形 394"/>
                        <wps:cNvSpPr>
                          <a:spLocks noChangeArrowheads="1"/>
                        </wps:cNvSpPr>
                        <wps:spPr bwMode="auto">
                          <a:xfrm>
                            <a:off x="6120" y="948956"/>
                            <a:ext cx="165" cy="165"/>
                          </a:xfrm>
                          <a:prstGeom prst="donut">
                            <a:avLst>
                              <a:gd name="adj" fmla="val 25000"/>
                            </a:avLst>
                          </a:prstGeom>
                          <a:solidFill>
                            <a:srgbClr val="FFFFFF"/>
                          </a:solidFill>
                          <a:ln w="15875">
                            <a:solidFill>
                              <a:srgbClr val="000000"/>
                            </a:solidFill>
                            <a:round/>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82.85pt;margin-top:388.25pt;height:30pt;width:110.9pt;z-index:251665408;mso-width-relative:page;mso-height-relative:page;" coordorigin="4560,948776" coordsize="2218,600" o:gfxdata="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GDO9B/aAAAACwEAAA8AAAAAAAAAAQAgAAAAIgAA&#10;AGRycy9kb3ducmV2LnhtbFBLAQIUABQAAAAIAIdO4kCLQuOwXAMAAO0IAAAOAAAAAAAAAAEAIAAA&#10;ACkBAABkcnMvZTJvRG9jLnhtbFBLBQYAAAAABgAGAFkBAAD3BgAAAAA=&#10;">
                <o:lock v:ext="edit" aspectratio="f"/>
                <v:rect id="矩形 393" o:spid="_x0000_s1026" o:spt="1" style="position:absolute;left:4560;top:948776;height:600;width:2219;" fillcolor="#FFFFFF" filled="t" stroked="t" coordsize="21600,21600" o:gfxdata="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U0sCugAAANwA&#10;AAAPAAAAAAAAAAEAIAAAACIAAABkcnMvZG93bnJldi54bWxQSwECFAAUAAAACACHTuJAMy8FnjsA&#10;AAA5AAAAEAAAAAAAAAABACAAAAAJAQAAZHJzL3NoYXBleG1sLnhtbFBLBQYAAAAABgAGAFsBAACz&#10;AwAAAAA=&#10;">
                  <v:fill type="gradient" on="t" color2="#FFFFFF" angle="90" focus="100%" focussize="0,0">
                    <o:fill type="gradientUnscaled" v:ext="backwardCompatible"/>
                  </v:fill>
                  <v:stroke weight="1.25pt" color="#739CC3" miterlimit="8" joinstyle="miter"/>
                  <v:imagedata o:title=""/>
                  <o:lock v:ext="edit" aspectratio="f"/>
                  <v:textbox>
                    <w:txbxContent>
                      <w:p>
                        <w:pPr>
                          <w:spacing w:line="360" w:lineRule="auto"/>
                          <w:jc w:val="left"/>
                          <w:rPr>
                            <w:b/>
                            <w:bCs/>
                            <w:sz w:val="28"/>
                            <w:szCs w:val="28"/>
                          </w:rPr>
                        </w:pPr>
                        <w:r>
                          <w:rPr>
                            <w:rFonts w:hint="eastAsia"/>
                            <w:b/>
                            <w:bCs/>
                            <w:sz w:val="28"/>
                            <w:szCs w:val="28"/>
                          </w:rPr>
                          <w:t>检测点位：</w:t>
                        </w:r>
                      </w:p>
                    </w:txbxContent>
                  </v:textbox>
                </v:rect>
                <v:shape id="自选图形 394" o:spid="_x0000_s1026" o:spt="23" type="#_x0000_t23" style="position:absolute;left:6120;top:948956;height:165;width:165;" fillcolor="#FFFFFF" filled="t" stroked="t" coordsize="21600,21600" o:gfxdata="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vAv6vQAA&#10;ANwAAAAPAAAAAAAAAAEAIAAAACIAAABkcnMvZG93bnJldi54bWxQSwECFAAUAAAACACHTuJAMy8F&#10;njsAAAA5AAAAEAAAAAAAAAABACAAAAAMAQAAZHJzL3NoYXBleG1sLnhtbFBLBQYAAAAABgAGAFsB&#10;AAC2AwAAAAA=&#10;" adj="5400">
                  <v:fill on="t" focussize="0,0"/>
                  <v:stroke weight="1.25pt" color="#000000" joinstyle="round"/>
                  <v:imagedata o:title=""/>
                  <o:lock v:ext="edit" aspectratio="f"/>
                </v:shape>
              </v:group>
            </w:pict>
          </mc:Fallback>
        </mc:AlternateContent>
      </w:r>
      <w:r>
        <w:drawing>
          <wp:inline distT="0" distB="0" distL="0" distR="0">
            <wp:extent cx="6802120" cy="5301615"/>
            <wp:effectExtent l="0" t="0" r="17780" b="13335"/>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noChangeArrowheads="1"/>
                    </pic:cNvPicPr>
                  </pic:nvPicPr>
                  <pic:blipFill>
                    <a:blip r:embed="rId33"/>
                    <a:srcRect/>
                    <a:stretch>
                      <a:fillRect/>
                    </a:stretch>
                  </pic:blipFill>
                  <pic:spPr>
                    <a:xfrm>
                      <a:off x="0" y="0"/>
                      <a:ext cx="6802120" cy="5301615"/>
                    </a:xfrm>
                    <a:prstGeom prst="rect">
                      <a:avLst/>
                    </a:prstGeom>
                    <a:noFill/>
                    <a:ln>
                      <a:noFill/>
                    </a:ln>
                    <a:effectLst/>
                  </pic:spPr>
                </pic:pic>
              </a:graphicData>
            </a:graphic>
          </wp:inline>
        </w:drawing>
      </w:r>
    </w:p>
    <w:p>
      <w:pPr>
        <w:spacing w:line="360" w:lineRule="auto"/>
        <w:jc w:val="center"/>
        <w:rPr>
          <w:b/>
          <w:snapToGrid w:val="0"/>
          <w:sz w:val="24"/>
        </w:rPr>
      </w:pPr>
      <w:r>
        <w:rPr>
          <w:b/>
          <w:sz w:val="24"/>
        </w:rPr>
        <mc:AlternateContent>
          <mc:Choice Requires="wpg">
            <w:drawing>
              <wp:anchor distT="0" distB="0" distL="114300" distR="114300" simplePos="0" relativeHeight="251664384" behindDoc="0" locked="0" layoutInCell="1" allowOverlap="1">
                <wp:simplePos x="0" y="0"/>
                <wp:positionH relativeFrom="column">
                  <wp:posOffset>2357120</wp:posOffset>
                </wp:positionH>
                <wp:positionV relativeFrom="paragraph">
                  <wp:posOffset>12248515</wp:posOffset>
                </wp:positionV>
                <wp:extent cx="4605655" cy="3630930"/>
                <wp:effectExtent l="33020" t="18415" r="19050" b="103505"/>
                <wp:wrapNone/>
                <wp:docPr id="161" name="组合 161"/>
                <wp:cNvGraphicFramePr/>
                <a:graphic xmlns:a="http://schemas.openxmlformats.org/drawingml/2006/main">
                  <a:graphicData uri="http://schemas.microsoft.com/office/word/2010/wordprocessingGroup">
                    <wpg:wgp>
                      <wpg:cNvGrpSpPr/>
                      <wpg:grpSpPr>
                        <a:xfrm>
                          <a:off x="0" y="0"/>
                          <a:ext cx="4605655" cy="3630930"/>
                          <a:chOff x="0" y="0"/>
                          <a:chExt cx="5356" cy="4236"/>
                        </a:xfrm>
                      </wpg:grpSpPr>
                      <wps:wsp>
                        <wps:cNvPr id="162" name="Rectangle 1727"/>
                        <wps:cNvSpPr>
                          <a:spLocks noChangeArrowheads="1"/>
                        </wps:cNvSpPr>
                        <wps:spPr bwMode="auto">
                          <a:xfrm rot="21029053">
                            <a:off x="1767" y="3153"/>
                            <a:ext cx="1234" cy="428"/>
                          </a:xfrm>
                          <a:prstGeom prst="rect">
                            <a:avLst/>
                          </a:prstGeom>
                          <a:noFill/>
                          <a:ln w="9525" cmpd="sng">
                            <a:solidFill>
                              <a:srgbClr val="FFFF00"/>
                            </a:solidFill>
                            <a:miter lim="800000"/>
                          </a:ln>
                        </wps:spPr>
                        <wps:bodyPr rot="0" vert="horz" wrap="square" lIns="91440" tIns="45720" rIns="91440" bIns="45720" anchor="t" anchorCtr="0" upright="1">
                          <a:noAutofit/>
                        </wps:bodyPr>
                      </wps:wsp>
                      <wps:wsp>
                        <wps:cNvPr id="163" name="Rectangle 1728"/>
                        <wps:cNvSpPr>
                          <a:spLocks noChangeArrowheads="1"/>
                        </wps:cNvSpPr>
                        <wps:spPr bwMode="auto">
                          <a:xfrm rot="21029053">
                            <a:off x="1874" y="3741"/>
                            <a:ext cx="1234" cy="495"/>
                          </a:xfrm>
                          <a:prstGeom prst="rect">
                            <a:avLst/>
                          </a:prstGeom>
                          <a:noFill/>
                          <a:ln w="9525" cmpd="sng">
                            <a:solidFill>
                              <a:srgbClr val="FFFF00"/>
                            </a:solidFill>
                            <a:miter lim="800000"/>
                          </a:ln>
                        </wps:spPr>
                        <wps:bodyPr rot="0" vert="horz" wrap="square" lIns="91440" tIns="45720" rIns="91440" bIns="45720" anchor="t" anchorCtr="0" upright="1">
                          <a:noAutofit/>
                        </wps:bodyPr>
                      </wps:wsp>
                      <wps:wsp>
                        <wps:cNvPr id="164" name="Rectangle 1729"/>
                        <wps:cNvSpPr>
                          <a:spLocks noChangeArrowheads="1"/>
                        </wps:cNvSpPr>
                        <wps:spPr bwMode="auto">
                          <a:xfrm rot="21029053">
                            <a:off x="4140" y="3455"/>
                            <a:ext cx="447" cy="458"/>
                          </a:xfrm>
                          <a:prstGeom prst="rect">
                            <a:avLst/>
                          </a:prstGeom>
                          <a:noFill/>
                          <a:ln w="9525" cmpd="sng">
                            <a:solidFill>
                              <a:srgbClr val="FFFF00"/>
                            </a:solidFill>
                            <a:miter lim="800000"/>
                          </a:ln>
                        </wps:spPr>
                        <wps:bodyPr rot="0" vert="horz" wrap="square" lIns="91440" tIns="45720" rIns="91440" bIns="45720" anchor="t" anchorCtr="0" upright="1">
                          <a:noAutofit/>
                        </wps:bodyPr>
                      </wps:wsp>
                      <wps:wsp>
                        <wps:cNvPr id="165" name="Rectangle 1730"/>
                        <wps:cNvSpPr>
                          <a:spLocks noChangeArrowheads="1"/>
                        </wps:cNvSpPr>
                        <wps:spPr bwMode="auto">
                          <a:xfrm rot="21029053">
                            <a:off x="3265" y="2905"/>
                            <a:ext cx="1234" cy="473"/>
                          </a:xfrm>
                          <a:prstGeom prst="rect">
                            <a:avLst/>
                          </a:prstGeom>
                          <a:noFill/>
                          <a:ln w="9525" cmpd="sng">
                            <a:solidFill>
                              <a:srgbClr val="FFFF00"/>
                            </a:solidFill>
                            <a:miter lim="800000"/>
                          </a:ln>
                        </wps:spPr>
                        <wps:bodyPr rot="0" vert="horz" wrap="square" lIns="91440" tIns="45720" rIns="91440" bIns="45720" anchor="t" anchorCtr="0" upright="1">
                          <a:noAutofit/>
                        </wps:bodyPr>
                      </wps:wsp>
                      <wps:wsp>
                        <wps:cNvPr id="166" name="Rectangle 1731"/>
                        <wps:cNvSpPr>
                          <a:spLocks noChangeArrowheads="1"/>
                        </wps:cNvSpPr>
                        <wps:spPr bwMode="auto">
                          <a:xfrm rot="21029053">
                            <a:off x="2121" y="2511"/>
                            <a:ext cx="755" cy="468"/>
                          </a:xfrm>
                          <a:prstGeom prst="rect">
                            <a:avLst/>
                          </a:prstGeom>
                          <a:noFill/>
                          <a:ln w="9525" cmpd="sng">
                            <a:solidFill>
                              <a:srgbClr val="FFFF00"/>
                            </a:solidFill>
                            <a:miter lim="800000"/>
                          </a:ln>
                        </wps:spPr>
                        <wps:bodyPr rot="0" vert="horz" wrap="square" lIns="91440" tIns="45720" rIns="91440" bIns="45720" anchor="t" anchorCtr="0" upright="1">
                          <a:noAutofit/>
                        </wps:bodyPr>
                      </wps:wsp>
                      <wps:wsp>
                        <wps:cNvPr id="167" name="Rectangle 1732"/>
                        <wps:cNvSpPr>
                          <a:spLocks noChangeArrowheads="1"/>
                        </wps:cNvSpPr>
                        <wps:spPr bwMode="auto">
                          <a:xfrm rot="21029053">
                            <a:off x="3155" y="2303"/>
                            <a:ext cx="1234" cy="471"/>
                          </a:xfrm>
                          <a:prstGeom prst="rect">
                            <a:avLst/>
                          </a:prstGeom>
                          <a:noFill/>
                          <a:ln w="9525" cmpd="sng">
                            <a:solidFill>
                              <a:srgbClr val="FFFF00"/>
                            </a:solidFill>
                            <a:miter lim="800000"/>
                          </a:ln>
                        </wps:spPr>
                        <wps:bodyPr rot="0" vert="horz" wrap="square" lIns="91440" tIns="45720" rIns="91440" bIns="45720" anchor="t" anchorCtr="0" upright="1">
                          <a:noAutofit/>
                        </wps:bodyPr>
                      </wps:wsp>
                      <wps:wsp>
                        <wps:cNvPr id="168" name="Rectangle 1733"/>
                        <wps:cNvSpPr>
                          <a:spLocks noChangeArrowheads="1"/>
                        </wps:cNvSpPr>
                        <wps:spPr bwMode="auto">
                          <a:xfrm rot="21029053">
                            <a:off x="337" y="3602"/>
                            <a:ext cx="1311" cy="428"/>
                          </a:xfrm>
                          <a:prstGeom prst="rect">
                            <a:avLst/>
                          </a:prstGeom>
                          <a:noFill/>
                          <a:ln w="9525" cmpd="sng">
                            <a:solidFill>
                              <a:srgbClr val="FFFF00"/>
                            </a:solidFill>
                            <a:miter lim="800000"/>
                          </a:ln>
                        </wps:spPr>
                        <wps:bodyPr rot="0" vert="horz" wrap="square" lIns="91440" tIns="45720" rIns="91440" bIns="45720" anchor="t" anchorCtr="0" upright="1">
                          <a:noAutofit/>
                        </wps:bodyPr>
                      </wps:wsp>
                      <wps:wsp>
                        <wps:cNvPr id="169" name="Rectangle 1734"/>
                        <wps:cNvSpPr>
                          <a:spLocks noChangeArrowheads="1"/>
                        </wps:cNvSpPr>
                        <wps:spPr bwMode="auto">
                          <a:xfrm rot="21029053">
                            <a:off x="171" y="2674"/>
                            <a:ext cx="1369" cy="506"/>
                          </a:xfrm>
                          <a:prstGeom prst="rect">
                            <a:avLst/>
                          </a:prstGeom>
                          <a:noFill/>
                          <a:ln w="9525" cmpd="sng">
                            <a:solidFill>
                              <a:srgbClr val="FFFF00"/>
                            </a:solidFill>
                            <a:miter lim="800000"/>
                          </a:ln>
                        </wps:spPr>
                        <wps:bodyPr rot="0" vert="horz" wrap="square" lIns="91440" tIns="45720" rIns="91440" bIns="45720" anchor="t" anchorCtr="0" upright="1">
                          <a:noAutofit/>
                        </wps:bodyPr>
                      </wps:wsp>
                      <wps:wsp>
                        <wps:cNvPr id="170" name="Rectangle 1735"/>
                        <wps:cNvSpPr>
                          <a:spLocks noChangeArrowheads="1"/>
                        </wps:cNvSpPr>
                        <wps:spPr bwMode="auto">
                          <a:xfrm rot="21029053">
                            <a:off x="1171" y="3224"/>
                            <a:ext cx="183" cy="212"/>
                          </a:xfrm>
                          <a:prstGeom prst="rect">
                            <a:avLst/>
                          </a:prstGeom>
                          <a:noFill/>
                          <a:ln w="9525" cmpd="sng">
                            <a:solidFill>
                              <a:srgbClr val="FFFF00"/>
                            </a:solidFill>
                            <a:miter lim="800000"/>
                          </a:ln>
                        </wps:spPr>
                        <wps:bodyPr rot="0" vert="horz" wrap="square" lIns="91440" tIns="45720" rIns="91440" bIns="45720" anchor="t" anchorCtr="0" upright="1">
                          <a:noAutofit/>
                        </wps:bodyPr>
                      </wps:wsp>
                      <wps:wsp>
                        <wps:cNvPr id="171" name="Rectangle 1736"/>
                        <wps:cNvSpPr>
                          <a:spLocks noChangeArrowheads="1"/>
                        </wps:cNvSpPr>
                        <wps:spPr bwMode="auto">
                          <a:xfrm rot="21029053">
                            <a:off x="590" y="3200"/>
                            <a:ext cx="519" cy="385"/>
                          </a:xfrm>
                          <a:prstGeom prst="rect">
                            <a:avLst/>
                          </a:prstGeom>
                          <a:noFill/>
                          <a:ln w="9525" cmpd="sng">
                            <a:solidFill>
                              <a:srgbClr val="FFFF00"/>
                            </a:solidFill>
                            <a:miter lim="800000"/>
                          </a:ln>
                        </wps:spPr>
                        <wps:bodyPr rot="0" vert="horz" wrap="square" lIns="91440" tIns="45720" rIns="91440" bIns="45720" anchor="t" anchorCtr="0" upright="1">
                          <a:noAutofit/>
                        </wps:bodyPr>
                      </wps:wsp>
                      <wps:wsp>
                        <wps:cNvPr id="172" name="Rectangle 1737"/>
                        <wps:cNvSpPr>
                          <a:spLocks noChangeArrowheads="1"/>
                        </wps:cNvSpPr>
                        <wps:spPr bwMode="auto">
                          <a:xfrm rot="21029053">
                            <a:off x="0" y="1866"/>
                            <a:ext cx="1336" cy="313"/>
                          </a:xfrm>
                          <a:prstGeom prst="rect">
                            <a:avLst/>
                          </a:prstGeom>
                          <a:noFill/>
                          <a:ln w="9525" cmpd="sng">
                            <a:solidFill>
                              <a:srgbClr val="FFFF00"/>
                            </a:solidFill>
                            <a:miter lim="800000"/>
                          </a:ln>
                        </wps:spPr>
                        <wps:bodyPr rot="0" vert="horz" wrap="square" lIns="91440" tIns="45720" rIns="91440" bIns="45720" anchor="t" anchorCtr="0" upright="1">
                          <a:noAutofit/>
                        </wps:bodyPr>
                      </wps:wsp>
                      <wps:wsp>
                        <wps:cNvPr id="173" name="Rectangle 1738"/>
                        <wps:cNvSpPr>
                          <a:spLocks noChangeArrowheads="1"/>
                        </wps:cNvSpPr>
                        <wps:spPr bwMode="auto">
                          <a:xfrm rot="21029053">
                            <a:off x="1876" y="1270"/>
                            <a:ext cx="697" cy="1118"/>
                          </a:xfrm>
                          <a:prstGeom prst="rect">
                            <a:avLst/>
                          </a:prstGeom>
                          <a:noFill/>
                          <a:ln w="9525" cmpd="sng">
                            <a:solidFill>
                              <a:srgbClr val="FFFF00"/>
                            </a:solidFill>
                            <a:miter lim="800000"/>
                          </a:ln>
                        </wps:spPr>
                        <wps:bodyPr rot="0" vert="horz" wrap="square" lIns="91440" tIns="45720" rIns="91440" bIns="45720" anchor="t" anchorCtr="0" upright="1">
                          <a:noAutofit/>
                        </wps:bodyPr>
                      </wps:wsp>
                      <wps:wsp>
                        <wps:cNvPr id="174" name="Rectangle 1739"/>
                        <wps:cNvSpPr>
                          <a:spLocks noChangeArrowheads="1"/>
                        </wps:cNvSpPr>
                        <wps:spPr bwMode="auto">
                          <a:xfrm rot="21029053">
                            <a:off x="72" y="783"/>
                            <a:ext cx="937" cy="229"/>
                          </a:xfrm>
                          <a:prstGeom prst="rect">
                            <a:avLst/>
                          </a:prstGeom>
                          <a:noFill/>
                          <a:ln w="9525" cmpd="sng">
                            <a:solidFill>
                              <a:srgbClr val="FFFF00"/>
                            </a:solidFill>
                            <a:miter lim="800000"/>
                          </a:ln>
                        </wps:spPr>
                        <wps:bodyPr rot="0" vert="horz" wrap="square" lIns="91440" tIns="45720" rIns="91440" bIns="45720" anchor="t" anchorCtr="0" upright="1">
                          <a:noAutofit/>
                        </wps:bodyPr>
                      </wps:wsp>
                      <wps:wsp>
                        <wps:cNvPr id="175" name="Rectangle 1740"/>
                        <wps:cNvSpPr>
                          <a:spLocks noChangeArrowheads="1"/>
                        </wps:cNvSpPr>
                        <wps:spPr bwMode="auto">
                          <a:xfrm rot="21029053">
                            <a:off x="1411" y="1343"/>
                            <a:ext cx="269" cy="874"/>
                          </a:xfrm>
                          <a:prstGeom prst="rect">
                            <a:avLst/>
                          </a:prstGeom>
                          <a:noFill/>
                          <a:ln w="9525" cmpd="sng">
                            <a:solidFill>
                              <a:srgbClr val="FFFF00"/>
                            </a:solidFill>
                            <a:miter lim="800000"/>
                          </a:ln>
                        </wps:spPr>
                        <wps:bodyPr rot="0" vert="horz" wrap="square" lIns="91440" tIns="45720" rIns="91440" bIns="45720" anchor="t" anchorCtr="0" upright="1">
                          <a:noAutofit/>
                        </wps:bodyPr>
                      </wps:wsp>
                      <wps:wsp>
                        <wps:cNvPr id="176" name="FreeForm 1741"/>
                        <wps:cNvSpPr/>
                        <wps:spPr bwMode="auto">
                          <a:xfrm>
                            <a:off x="3441" y="0"/>
                            <a:ext cx="1915" cy="2152"/>
                          </a:xfrm>
                          <a:custGeom>
                            <a:avLst/>
                            <a:gdLst>
                              <a:gd name="T0" fmla="*/ 0 w 1915"/>
                              <a:gd name="T1" fmla="*/ 536 h 2152"/>
                              <a:gd name="T2" fmla="*/ 333 w 1915"/>
                              <a:gd name="T3" fmla="*/ 475 h 2152"/>
                              <a:gd name="T4" fmla="*/ 297 w 1915"/>
                              <a:gd name="T5" fmla="*/ 223 h 2152"/>
                              <a:gd name="T6" fmla="*/ 1607 w 1915"/>
                              <a:gd name="T7" fmla="*/ 0 h 2152"/>
                              <a:gd name="T8" fmla="*/ 1915 w 1915"/>
                              <a:gd name="T9" fmla="*/ 1842 h 2152"/>
                              <a:gd name="T10" fmla="*/ 268 w 1915"/>
                              <a:gd name="T11" fmla="*/ 2152 h 2152"/>
                              <a:gd name="T12" fmla="*/ 0 w 1915"/>
                              <a:gd name="T13" fmla="*/ 536 h 2152"/>
                            </a:gdLst>
                            <a:ahLst/>
                            <a:cxnLst>
                              <a:cxn ang="0">
                                <a:pos x="T0" y="T1"/>
                              </a:cxn>
                              <a:cxn ang="0">
                                <a:pos x="T2" y="T3"/>
                              </a:cxn>
                              <a:cxn ang="0">
                                <a:pos x="T4" y="T5"/>
                              </a:cxn>
                              <a:cxn ang="0">
                                <a:pos x="T6" y="T7"/>
                              </a:cxn>
                              <a:cxn ang="0">
                                <a:pos x="T8" y="T9"/>
                              </a:cxn>
                              <a:cxn ang="0">
                                <a:pos x="T10" y="T11"/>
                              </a:cxn>
                              <a:cxn ang="0">
                                <a:pos x="T12" y="T13"/>
                              </a:cxn>
                            </a:cxnLst>
                            <a:rect l="0" t="0" r="r" b="b"/>
                            <a:pathLst>
                              <a:path w="1915" h="2152">
                                <a:moveTo>
                                  <a:pt x="0" y="536"/>
                                </a:moveTo>
                                <a:lnTo>
                                  <a:pt x="333" y="475"/>
                                </a:lnTo>
                                <a:lnTo>
                                  <a:pt x="297" y="223"/>
                                </a:lnTo>
                                <a:lnTo>
                                  <a:pt x="1607" y="0"/>
                                </a:lnTo>
                                <a:lnTo>
                                  <a:pt x="1915" y="1842"/>
                                </a:lnTo>
                                <a:lnTo>
                                  <a:pt x="268" y="2152"/>
                                </a:lnTo>
                                <a:lnTo>
                                  <a:pt x="0" y="536"/>
                                </a:lnTo>
                                <a:close/>
                              </a:path>
                            </a:pathLst>
                          </a:custGeom>
                          <a:noFill/>
                          <a:ln w="9525" cmpd="sng">
                            <a:solidFill>
                              <a:srgbClr val="FFFF00"/>
                            </a:solidFill>
                            <a:round/>
                          </a:ln>
                        </wps:spPr>
                        <wps:bodyPr rot="0" vert="horz" wrap="square" lIns="91440" tIns="45720" rIns="91440" bIns="45720" anchor="t" anchorCtr="0" upright="1">
                          <a:noAutofit/>
                        </wps:bodyPr>
                      </wps:wsp>
                      <wps:wsp>
                        <wps:cNvPr id="177" name="Rectangle 1742"/>
                        <wps:cNvSpPr>
                          <a:spLocks noChangeArrowheads="1"/>
                        </wps:cNvSpPr>
                        <wps:spPr bwMode="auto">
                          <a:xfrm rot="21029053">
                            <a:off x="2566" y="1124"/>
                            <a:ext cx="1057" cy="1118"/>
                          </a:xfrm>
                          <a:prstGeom prst="rect">
                            <a:avLst/>
                          </a:prstGeom>
                          <a:noFill/>
                          <a:ln w="9525" cmpd="sng">
                            <a:solidFill>
                              <a:srgbClr val="FFFF00"/>
                            </a:solidFill>
                            <a:miter lim="800000"/>
                          </a:ln>
                        </wps:spPr>
                        <wps:bodyPr rot="0" vert="horz" wrap="square" lIns="91440" tIns="45720" rIns="91440" bIns="45720" anchor="t" anchorCtr="0" upright="1">
                          <a:noAutofit/>
                        </wps:bodyPr>
                      </wps:wsp>
                      <wps:wsp>
                        <wps:cNvPr id="178" name="Rectangle 1743"/>
                        <wps:cNvSpPr>
                          <a:spLocks noChangeArrowheads="1"/>
                        </wps:cNvSpPr>
                        <wps:spPr bwMode="auto">
                          <a:xfrm rot="21029053">
                            <a:off x="4799" y="1676"/>
                            <a:ext cx="543" cy="218"/>
                          </a:xfrm>
                          <a:prstGeom prst="rect">
                            <a:avLst/>
                          </a:prstGeom>
                          <a:noFill/>
                          <a:ln w="9525" cmpd="sng">
                            <a:solidFill>
                              <a:srgbClr val="FFFF00"/>
                            </a:solidFill>
                            <a:miter lim="800000"/>
                          </a:ln>
                        </wps:spPr>
                        <wps:bodyPr rot="0" vert="horz" wrap="square" lIns="91440" tIns="45720" rIns="91440" bIns="45720" anchor="t" anchorCtr="0" upright="1">
                          <a:noAutofit/>
                        </wps:bodyPr>
                      </wps:wsp>
                      <wps:wsp>
                        <wps:cNvPr id="179" name="Rectangle 1744"/>
                        <wps:cNvSpPr>
                          <a:spLocks noChangeArrowheads="1"/>
                        </wps:cNvSpPr>
                        <wps:spPr bwMode="auto">
                          <a:xfrm rot="21029053">
                            <a:off x="2328" y="1235"/>
                            <a:ext cx="184" cy="476"/>
                          </a:xfrm>
                          <a:prstGeom prst="rect">
                            <a:avLst/>
                          </a:prstGeom>
                          <a:noFill/>
                          <a:ln w="9525" cmpd="sng">
                            <a:solidFill>
                              <a:srgbClr val="FFFF00"/>
                            </a:solidFill>
                            <a:prstDash val="sysDot"/>
                            <a:miter lim="800000"/>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185.6pt;margin-top:964.45pt;height:285.9pt;width:362.65pt;z-index:251664384;mso-width-relative:page;mso-height-relative:page;" coordsize="5356,4236" o:gfxdata="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">
                <o:lock v:ext="edit" aspectratio="f"/>
                <v:rect id="Rectangle 1727" o:spid="_x0000_s1026" o:spt="1" style="position:absolute;left:1767;top:3153;height:428;width:1234;rotation:-623626f;" filled="f" stroked="t" coordsize="21600,21600" o:gfxdata="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ctBW7sAAADc&#10;AAAADwAAAAAAAAABACAAAAAiAAAAZHJzL2Rvd25yZXYueG1sUEsBAhQAFAAAAAgAh07iQDMvBZ47&#10;AAAAOQAAABAAAAAAAAAAAQAgAAAACgEAAGRycy9zaGFwZXhtbC54bWxQSwUGAAAAAAYABgBbAQAA&#10;tAMAAAAA&#10;">
                  <v:fill on="f" focussize="0,0"/>
                  <v:stroke color="#FFFF00" miterlimit="8" joinstyle="miter"/>
                  <v:imagedata o:title=""/>
                  <o:lock v:ext="edit" aspectratio="f"/>
                </v:rect>
                <v:rect id="Rectangle 1728" o:spid="_x0000_s1026" o:spt="1" style="position:absolute;left:1874;top:3741;height:495;width:1234;rotation:-623626f;" filled="f" stroked="t" coordsize="21600,21600" o:gfxdata="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ofkwLsAAADc&#10;AAAADwAAAAAAAAABACAAAAAiAAAAZHJzL2Rvd25yZXYueG1sUEsBAhQAFAAAAAgAh07iQDMvBZ47&#10;AAAAOQAAABAAAAAAAAAAAQAgAAAACgEAAGRycy9zaGFwZXhtbC54bWxQSwUGAAAAAAYABgBbAQAA&#10;tAMAAAAA&#10;">
                  <v:fill on="f" focussize="0,0"/>
                  <v:stroke color="#FFFF00" miterlimit="8" joinstyle="miter"/>
                  <v:imagedata o:title=""/>
                  <o:lock v:ext="edit" aspectratio="f"/>
                </v:rect>
                <v:rect id="Rectangle 1729" o:spid="_x0000_s1026" o:spt="1" style="position:absolute;left:4140;top:3455;height:458;width:447;rotation:-623626f;" filled="f" stroked="t" coordsize="21600,21600" o:gfxdata="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W58tLsAAADc&#10;AAAADwAAAAAAAAABACAAAAAiAAAAZHJzL2Rvd25yZXYueG1sUEsBAhQAFAAAAAgAh07iQDMvBZ47&#10;AAAAOQAAABAAAAAAAAAAAQAgAAAACgEAAGRycy9zaGFwZXhtbC54bWxQSwUGAAAAAAYABgBbAQAA&#10;tAMAAAAA&#10;">
                  <v:fill on="f" focussize="0,0"/>
                  <v:stroke color="#FFFF00" miterlimit="8" joinstyle="miter"/>
                  <v:imagedata o:title=""/>
                  <o:lock v:ext="edit" aspectratio="f"/>
                </v:rect>
                <v:rect id="Rectangle 1730" o:spid="_x0000_s1026" o:spt="1" style="position:absolute;left:3265;top:2905;height:473;width:1234;rotation:-623626f;" filled="f" stroked="t" coordsize="21600,21600" o:gfxdata="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iLZL7sAAADc&#10;AAAADwAAAAAAAAABACAAAAAiAAAAZHJzL2Rvd25yZXYueG1sUEsBAhQAFAAAAAgAh07iQDMvBZ47&#10;AAAAOQAAABAAAAAAAAAAAQAgAAAACgEAAGRycy9zaGFwZXhtbC54bWxQSwUGAAAAAAYABgBbAQAA&#10;tAMAAAAA&#10;">
                  <v:fill on="f" focussize="0,0"/>
                  <v:stroke color="#FFFF00" miterlimit="8" joinstyle="miter"/>
                  <v:imagedata o:title=""/>
                  <o:lock v:ext="edit" aspectratio="f"/>
                </v:rect>
                <v:rect id="Rectangle 1731" o:spid="_x0000_s1026" o:spt="1" style="position:absolute;left:2121;top:2511;height:468;width:755;rotation:-623626f;" filled="f" stroked="t" coordsize="21600,21600" o:gfxdata="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7wR1i8AAAA&#10;3AAAAA8AAAAAAAAAAQAgAAAAIgAAAGRycy9kb3ducmV2LnhtbFBLAQIUABQAAAAIAIdO4kAzLwWe&#10;OwAAADkAAAAQAAAAAAAAAAEAIAAAAAsBAABkcnMvc2hhcGV4bWwueG1sUEsFBgAAAAAGAAYAWwEA&#10;ALUDAAAAAA==&#10;">
                  <v:fill on="f" focussize="0,0"/>
                  <v:stroke color="#FFFF00" miterlimit="8" joinstyle="miter"/>
                  <v:imagedata o:title=""/>
                  <o:lock v:ext="edit" aspectratio="f"/>
                </v:rect>
                <v:rect id="Rectangle 1732" o:spid="_x0000_s1026" o:spt="1" style="position:absolute;left:3155;top:2303;height:471;width:1234;rotation:-623626f;" filled="f" stroked="t" coordsize="21600,21600" o:gfxdata="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vOLDvQAA&#10;ANwAAAAPAAAAAAAAAAEAIAAAACIAAABkcnMvZG93bnJldi54bWxQSwECFAAUAAAACACHTuJAMy8F&#10;njsAAAA5AAAAEAAAAAAAAAABACAAAAAMAQAAZHJzL3NoYXBleG1sLnhtbFBLBQYAAAAABgAGAFsB&#10;AAC2AwAAAAA=&#10;">
                  <v:fill on="f" focussize="0,0"/>
                  <v:stroke color="#FFFF00" miterlimit="8" joinstyle="miter"/>
                  <v:imagedata o:title=""/>
                  <o:lock v:ext="edit" aspectratio="f"/>
                </v:rect>
                <v:rect id="Rectangle 1733" o:spid="_x0000_s1026" o:spt="1" style="position:absolute;left:337;top:3602;height:428;width:1311;rotation:-623626f;" filled="f" stroked="t" coordsize="21600,21600" o:gfxdata="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jdrG/&#10;AAAA3AAAAA8AAAAAAAAAAQAgAAAAIgAAAGRycy9kb3ducmV2LnhtbFBLAQIUABQAAAAIAIdO4kAz&#10;LwWeOwAAADkAAAAQAAAAAAAAAAEAIAAAAA4BAABkcnMvc2hhcGV4bWwueG1sUEsFBgAAAAAGAAYA&#10;WwEAALgDAAAAAA==&#10;">
                  <v:fill on="f" focussize="0,0"/>
                  <v:stroke color="#FFFF00" miterlimit="8" joinstyle="miter"/>
                  <v:imagedata o:title=""/>
                  <o:lock v:ext="edit" aspectratio="f"/>
                </v:rect>
                <v:rect id="Rectangle 1734" o:spid="_x0000_s1026" o:spt="1" style="position:absolute;left:171;top:2674;height:506;width:1369;rotation:-623626f;" filled="f" stroked="t" coordsize="21600,21600" o:gfxdata="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2/TKrsAAADc&#10;AAAADwAAAAAAAAABACAAAAAiAAAAZHJzL2Rvd25yZXYueG1sUEsBAhQAFAAAAAgAh07iQDMvBZ47&#10;AAAAOQAAABAAAAAAAAAAAQAgAAAACgEAAGRycy9zaGFwZXhtbC54bWxQSwUGAAAAAAYABgBbAQAA&#10;tAMAAAAA&#10;">
                  <v:fill on="f" focussize="0,0"/>
                  <v:stroke color="#FFFF00" miterlimit="8" joinstyle="miter"/>
                  <v:imagedata o:title=""/>
                  <o:lock v:ext="edit" aspectratio="f"/>
                </v:rect>
                <v:rect id="Rectangle 1735" o:spid="_x0000_s1026" o:spt="1" style="position:absolute;left:1171;top:3224;height:212;width:183;rotation:-623626f;" filled="f" stroked="t" coordsize="21600,21600" o:gfxdata="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M7Gq/&#10;AAAA3AAAAA8AAAAAAAAAAQAgAAAAIgAAAGRycy9kb3ducmV2LnhtbFBLAQIUABQAAAAIAIdO4kAz&#10;LwWeOwAAADkAAAAQAAAAAAAAAAEAIAAAAA4BAABkcnMvc2hhcGV4bWwueG1sUEsFBgAAAAAGAAYA&#10;WwEAALgDAAAAAA==&#10;">
                  <v:fill on="f" focussize="0,0"/>
                  <v:stroke color="#FFFF00" miterlimit="8" joinstyle="miter"/>
                  <v:imagedata o:title=""/>
                  <o:lock v:ext="edit" aspectratio="f"/>
                </v:rect>
                <v:rect id="Rectangle 1736" o:spid="_x0000_s1026" o:spt="1" style="position:absolute;left:590;top:3200;height:385;width:519;rotation:-623626f;" filled="f" stroked="t" coordsize="21600,21600" o:gfxdata="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TASfG8AAAA&#10;3AAAAA8AAAAAAAAAAQAgAAAAIgAAAGRycy9kb3ducmV2LnhtbFBLAQIUABQAAAAIAIdO4kAzLwWe&#10;OwAAADkAAAAQAAAAAAAAAAEAIAAAAAsBAABkcnMvc2hhcGV4bWwueG1sUEsFBgAAAAAGAAYAWwEA&#10;ALUDAAAAAA==&#10;">
                  <v:fill on="f" focussize="0,0"/>
                  <v:stroke color="#FFFF00" miterlimit="8" joinstyle="miter"/>
                  <v:imagedata o:title=""/>
                  <o:lock v:ext="edit" aspectratio="f"/>
                </v:rect>
                <v:rect id="Rectangle 1737" o:spid="_x0000_s1026" o:spt="1" style="position:absolute;left:0;top:1866;height:313;width:1336;rotation:-623626f;" filled="f" stroked="t" coordsize="21600,21600" o:gfxdata="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BLXhrsAAADc&#10;AAAADwAAAAAAAAABACAAAAAiAAAAZHJzL2Rvd25yZXYueG1sUEsBAhQAFAAAAAgAh07iQDMvBZ47&#10;AAAAOQAAABAAAAAAAAAAAQAgAAAACgEAAGRycy9zaGFwZXhtbC54bWxQSwUGAAAAAAYABgBbAQAA&#10;tAMAAAAA&#10;">
                  <v:fill on="f" focussize="0,0"/>
                  <v:stroke color="#FFFF00" miterlimit="8" joinstyle="miter"/>
                  <v:imagedata o:title=""/>
                  <o:lock v:ext="edit" aspectratio="f"/>
                </v:rect>
                <v:rect id="Rectangle 1738" o:spid="_x0000_s1026" o:spt="1" style="position:absolute;left:1876;top:1270;height:1118;width:697;rotation:-623626f;" filled="f" stroked="t" coordsize="21600,21600" o:gfxdata="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ech28AAAA&#10;3AAAAA8AAAAAAAAAAQAgAAAAIgAAAGRycy9kb3ducmV2LnhtbFBLAQIUABQAAAAIAIdO4kAzLwWe&#10;OwAAADkAAAAQAAAAAAAAAAEAIAAAAAsBAABkcnMvc2hhcGV4bWwueG1sUEsFBgAAAAAGAAYAWwEA&#10;ALUDAAAAAA==&#10;">
                  <v:fill on="f" focussize="0,0"/>
                  <v:stroke color="#FFFF00" miterlimit="8" joinstyle="miter"/>
                  <v:imagedata o:title=""/>
                  <o:lock v:ext="edit" aspectratio="f"/>
                </v:rect>
                <v:rect id="Rectangle 1739" o:spid="_x0000_s1026" o:spt="1" style="position:absolute;left:72;top:783;height:229;width:937;rotation:-623626f;" filled="f" stroked="t" coordsize="21600,21600" o:gfxdata="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36mm8AAAA&#10;3AAAAA8AAAAAAAAAAQAgAAAAIgAAAGRycy9kb3ducmV2LnhtbFBLAQIUABQAAAAIAIdO4kAzLwWe&#10;OwAAADkAAAAQAAAAAAAAAAEAIAAAAAsBAABkcnMvc2hhcGV4bWwueG1sUEsFBgAAAAAGAAYAWwEA&#10;ALUDAAAAAA==&#10;">
                  <v:fill on="f" focussize="0,0"/>
                  <v:stroke color="#FFFF00" miterlimit="8" joinstyle="miter"/>
                  <v:imagedata o:title=""/>
                  <o:lock v:ext="edit" aspectratio="f"/>
                </v:rect>
                <v:rect id="Rectangle 1740" o:spid="_x0000_s1026" o:spt="1" style="position:absolute;left:1411;top:1343;height:874;width:269;rotation:-623626f;" filled="f" stroked="t" coordsize="21600,21600" o:gfxdata="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v7T/K8AAAA&#10;3AAAAA8AAAAAAAAAAQAgAAAAIgAAAGRycy9kb3ducmV2LnhtbFBLAQIUABQAAAAIAIdO4kAzLwWe&#10;OwAAADkAAAAQAAAAAAAAAAEAIAAAAAsBAABkcnMvc2hhcGV4bWwueG1sUEsFBgAAAAAGAAYAWwEA&#10;ALUDAAAAAA==&#10;">
                  <v:fill on="f" focussize="0,0"/>
                  <v:stroke color="#FFFF00" miterlimit="8" joinstyle="miter"/>
                  <v:imagedata o:title=""/>
                  <o:lock v:ext="edit" aspectratio="f"/>
                </v:rect>
                <v:shape id="FreeForm 1741" o:spid="_x0000_s1026" o:spt="100" style="position:absolute;left:3441;top:0;height:2152;width:1915;" filled="f" stroked="t" coordsize="1915,2152" o:gfxdata="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N+9b4A&#10;AADcAAAADwAAAAAAAAABACAAAAAiAAAAZHJzL2Rvd25yZXYueG1sUEsBAhQAFAAAAAgAh07iQDMv&#10;BZ47AAAAOQAAABAAAAAAAAAAAQAgAAAADQEAAGRycy9zaGFwZXhtbC54bWxQSwUGAAAAAAYABgBb&#10;AQAAtwMAAAAA&#10;" path="m0,536l333,475,297,223,1607,0,1915,1842,268,2152,0,536xe">
                  <v:path o:connectlocs="0,536;333,475;297,223;1607,0;1915,1842;268,2152;0,536" o:connectangles="0,0,0,0,0,0,0"/>
                  <v:fill on="f" focussize="0,0"/>
                  <v:stroke color="#FFFF00" joinstyle="round"/>
                  <v:imagedata o:title=""/>
                  <o:lock v:ext="edit" aspectratio="f"/>
                </v:shape>
                <v:rect id="Rectangle 1742" o:spid="_x0000_s1026" o:spt="1" style="position:absolute;left:2566;top:1124;height:1118;width:1057;rotation:-623626f;" filled="f" stroked="t" coordsize="21600,21600" o:gfxdata="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ldB68AAAA&#10;3AAAAA8AAAAAAAAAAQAgAAAAIgAAAGRycy9kb3ducmV2LnhtbFBLAQIUABQAAAAIAIdO4kAzLwWe&#10;OwAAADkAAAAQAAAAAAAAAAEAIAAAAAsBAABkcnMvc2hhcGV4bWwueG1sUEsFBgAAAAAGAAYAWwEA&#10;ALUDAAAAAA==&#10;">
                  <v:fill on="f" focussize="0,0"/>
                  <v:stroke color="#FFFF00" miterlimit="8" joinstyle="miter"/>
                  <v:imagedata o:title=""/>
                  <o:lock v:ext="edit" aspectratio="f"/>
                </v:rect>
                <v:rect id="Rectangle 1743" o:spid="_x0000_s1026" o:spt="1" style="position:absolute;left:4799;top:1676;height:218;width:543;rotation:-623626f;" filled="f" stroked="t" coordsize="21600,21600" o:gfxdata="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64Gy/&#10;AAAA3AAAAA8AAAAAAAAAAQAgAAAAIgAAAGRycy9kb3ducmV2LnhtbFBLAQIUABQAAAAIAIdO4kAz&#10;LwWeOwAAADkAAAAQAAAAAAAAAAEAIAAAAA4BAABkcnMvc2hhcGV4bWwueG1sUEsFBgAAAAAGAAYA&#10;WwEAALgDAAAAAA==&#10;">
                  <v:fill on="f" focussize="0,0"/>
                  <v:stroke color="#FFFF00" miterlimit="8" joinstyle="miter"/>
                  <v:imagedata o:title=""/>
                  <o:lock v:ext="edit" aspectratio="f"/>
                </v:rect>
                <v:rect id="Rectangle 1744" o:spid="_x0000_s1026" o:spt="1" style="position:absolute;left:2328;top:1235;height:476;width:184;rotation:-623626f;" filled="f" stroked="t" coordsize="21600,21600" o:gfxdata="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WNaQugAAANwA&#10;AAAPAAAAAAAAAAEAIAAAACIAAABkcnMvZG93bnJldi54bWxQSwECFAAUAAAACACHTuJAMy8FnjsA&#10;AAA5AAAAEAAAAAAAAAABACAAAAAJAQAAZHJzL3NoYXBleG1sLnhtbFBLBQYAAAAABgAGAFsBAACz&#10;AwAAAAA=&#10;">
                  <v:fill on="f" focussize="0,0"/>
                  <v:stroke color="#FFFF00" miterlimit="8" joinstyle="miter" dashstyle="1 1"/>
                  <v:imagedata o:title=""/>
                  <o:lock v:ext="edit" aspectratio="f"/>
                </v:rect>
              </v:group>
            </w:pict>
          </mc:Fallback>
        </mc:AlternateContent>
      </w:r>
      <w:r>
        <w:rPr>
          <w:b/>
          <w:snapToGrid w:val="0"/>
          <w:sz w:val="24"/>
        </w:rPr>
        <w:t>图5.1-1  现场土壤快筛布点图</w:t>
      </w:r>
    </w:p>
    <w:p>
      <w:pPr>
        <w:pStyle w:val="116"/>
        <w:outlineLvl w:val="3"/>
        <w:rPr>
          <w:rFonts w:ascii="Times New Roman" w:hAnsi="Times New Roman" w:eastAsia="宋体"/>
          <w:b w:val="0"/>
          <w:bCs w:val="0"/>
          <w:sz w:val="24"/>
          <w:szCs w:val="24"/>
        </w:rPr>
        <w:sectPr>
          <w:pgSz w:w="16838" w:h="11906" w:orient="landscape"/>
          <w:pgMar w:top="1418" w:right="1418" w:bottom="1418" w:left="1418" w:header="850" w:footer="850" w:gutter="0"/>
          <w:pgNumType w:fmt="numberInDash"/>
          <w:cols w:space="720" w:num="1"/>
          <w:docGrid w:type="lines" w:linePitch="312" w:charSpace="0"/>
        </w:sectPr>
      </w:pPr>
    </w:p>
    <w:p>
      <w:pPr>
        <w:spacing w:line="460" w:lineRule="exact"/>
        <w:jc w:val="center"/>
        <w:rPr>
          <w:b/>
          <w:sz w:val="24"/>
          <w:szCs w:val="24"/>
        </w:rPr>
      </w:pPr>
      <w:r>
        <w:rPr>
          <w:b/>
          <w:sz w:val="24"/>
          <w:szCs w:val="24"/>
        </w:rPr>
        <w:t>表5.1-2  现场土壤快筛布点依据一览表</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98" w:type="pct"/>
            <w:vAlign w:val="center"/>
          </w:tcPr>
          <w:p>
            <w:pPr>
              <w:adjustRightInd w:val="0"/>
              <w:snapToGrid w:val="0"/>
              <w:jc w:val="center"/>
              <w:textAlignment w:val="center"/>
              <w:rPr>
                <w:b/>
                <w:sz w:val="21"/>
                <w:szCs w:val="21"/>
              </w:rPr>
            </w:pPr>
            <w:r>
              <w:rPr>
                <w:b/>
                <w:sz w:val="21"/>
                <w:szCs w:val="21"/>
              </w:rPr>
              <w:t>快检点位</w:t>
            </w:r>
          </w:p>
        </w:tc>
        <w:tc>
          <w:tcPr>
            <w:tcW w:w="4102" w:type="pct"/>
            <w:vAlign w:val="center"/>
          </w:tcPr>
          <w:p>
            <w:pPr>
              <w:adjustRightInd w:val="0"/>
              <w:snapToGrid w:val="0"/>
              <w:jc w:val="center"/>
              <w:textAlignment w:val="center"/>
              <w:rPr>
                <w:b/>
                <w:sz w:val="21"/>
                <w:szCs w:val="21"/>
              </w:rPr>
            </w:pPr>
            <w:r>
              <w:rPr>
                <w:b/>
                <w:sz w:val="21"/>
                <w:szCs w:val="21"/>
              </w:rPr>
              <w:t>布点依据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98" w:type="pct"/>
            <w:vAlign w:val="center"/>
          </w:tcPr>
          <w:p>
            <w:pPr>
              <w:adjustRightInd w:val="0"/>
              <w:snapToGrid w:val="0"/>
              <w:jc w:val="center"/>
              <w:textAlignment w:val="center"/>
              <w:rPr>
                <w:sz w:val="21"/>
                <w:szCs w:val="21"/>
              </w:rPr>
            </w:pPr>
            <w:r>
              <w:rPr>
                <w:sz w:val="21"/>
                <w:szCs w:val="21"/>
              </w:rPr>
              <w:t>S1</w:t>
            </w:r>
            <w:r>
              <w:rPr>
                <w:rFonts w:hint="eastAsia"/>
                <w:sz w:val="21"/>
                <w:szCs w:val="21"/>
              </w:rPr>
              <w:t>、S2、S3、S4、S7、S11、S12、S14、S21</w:t>
            </w:r>
          </w:p>
        </w:tc>
        <w:tc>
          <w:tcPr>
            <w:tcW w:w="4102" w:type="pct"/>
            <w:vAlign w:val="center"/>
          </w:tcPr>
          <w:p>
            <w:pPr>
              <w:adjustRightInd w:val="0"/>
              <w:snapToGrid w:val="0"/>
              <w:jc w:val="center"/>
              <w:textAlignment w:val="center"/>
              <w:rPr>
                <w:sz w:val="21"/>
                <w:szCs w:val="21"/>
              </w:rPr>
            </w:pPr>
            <w:r>
              <w:rPr>
                <w:rFonts w:hint="eastAsia"/>
                <w:sz w:val="21"/>
                <w:szCs w:val="21"/>
              </w:rPr>
              <w:t>地块内四周边缘位置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898" w:type="pct"/>
            <w:vAlign w:val="center"/>
          </w:tcPr>
          <w:p>
            <w:pPr>
              <w:adjustRightInd w:val="0"/>
              <w:snapToGrid w:val="0"/>
              <w:jc w:val="center"/>
              <w:textAlignment w:val="center"/>
              <w:rPr>
                <w:sz w:val="21"/>
                <w:szCs w:val="21"/>
              </w:rPr>
            </w:pPr>
            <w:r>
              <w:rPr>
                <w:rFonts w:hint="eastAsia"/>
                <w:sz w:val="21"/>
                <w:szCs w:val="21"/>
              </w:rPr>
              <w:t>S8、S9、10</w:t>
            </w:r>
          </w:p>
        </w:tc>
        <w:tc>
          <w:tcPr>
            <w:tcW w:w="4102" w:type="pct"/>
            <w:vAlign w:val="center"/>
          </w:tcPr>
          <w:p>
            <w:pPr>
              <w:adjustRightInd w:val="0"/>
              <w:snapToGrid w:val="0"/>
              <w:jc w:val="center"/>
              <w:textAlignment w:val="center"/>
              <w:rPr>
                <w:sz w:val="21"/>
                <w:szCs w:val="21"/>
              </w:rPr>
            </w:pPr>
            <w:r>
              <w:rPr>
                <w:rFonts w:hint="eastAsia"/>
                <w:sz w:val="21"/>
                <w:szCs w:val="21"/>
              </w:rPr>
              <w:t>地块北侧池塘四周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98" w:type="pct"/>
            <w:vAlign w:val="center"/>
          </w:tcPr>
          <w:p>
            <w:pPr>
              <w:adjustRightInd w:val="0"/>
              <w:snapToGrid w:val="0"/>
              <w:jc w:val="center"/>
              <w:textAlignment w:val="center"/>
              <w:rPr>
                <w:sz w:val="21"/>
                <w:szCs w:val="21"/>
              </w:rPr>
            </w:pPr>
            <w:r>
              <w:rPr>
                <w:rFonts w:hint="eastAsia"/>
                <w:sz w:val="21"/>
                <w:szCs w:val="21"/>
              </w:rPr>
              <w:t>S13、S15、S23、S24、S25</w:t>
            </w:r>
          </w:p>
        </w:tc>
        <w:tc>
          <w:tcPr>
            <w:tcW w:w="4102" w:type="pct"/>
            <w:vAlign w:val="center"/>
          </w:tcPr>
          <w:p>
            <w:pPr>
              <w:adjustRightInd w:val="0"/>
              <w:snapToGrid w:val="0"/>
              <w:jc w:val="center"/>
              <w:textAlignment w:val="center"/>
              <w:rPr>
                <w:sz w:val="21"/>
                <w:szCs w:val="21"/>
              </w:rPr>
            </w:pPr>
            <w:r>
              <w:rPr>
                <w:rFonts w:hint="eastAsia"/>
                <w:sz w:val="21"/>
                <w:szCs w:val="21"/>
              </w:rPr>
              <w:t>地块内不同区域的农田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98" w:type="pct"/>
            <w:vAlign w:val="center"/>
          </w:tcPr>
          <w:p>
            <w:pPr>
              <w:adjustRightInd w:val="0"/>
              <w:snapToGrid w:val="0"/>
              <w:jc w:val="center"/>
              <w:textAlignment w:val="center"/>
              <w:rPr>
                <w:sz w:val="21"/>
                <w:szCs w:val="21"/>
              </w:rPr>
            </w:pPr>
            <w:r>
              <w:rPr>
                <w:rFonts w:hint="eastAsia"/>
                <w:sz w:val="21"/>
                <w:szCs w:val="21"/>
              </w:rPr>
              <w:t>S16、S17、S18、S19</w:t>
            </w:r>
          </w:p>
        </w:tc>
        <w:tc>
          <w:tcPr>
            <w:tcW w:w="4102" w:type="pct"/>
            <w:vAlign w:val="center"/>
          </w:tcPr>
          <w:p>
            <w:pPr>
              <w:adjustRightInd w:val="0"/>
              <w:snapToGrid w:val="0"/>
              <w:jc w:val="center"/>
              <w:textAlignment w:val="center"/>
              <w:rPr>
                <w:sz w:val="21"/>
                <w:szCs w:val="21"/>
              </w:rPr>
            </w:pPr>
            <w:r>
              <w:rPr>
                <w:rFonts w:hint="eastAsia"/>
                <w:sz w:val="21"/>
                <w:szCs w:val="21"/>
              </w:rPr>
              <w:t>地块西南侧荒地内及荒地与林地交界处，存在部分素填土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98" w:type="pct"/>
            <w:vAlign w:val="center"/>
          </w:tcPr>
          <w:p>
            <w:pPr>
              <w:adjustRightInd w:val="0"/>
              <w:snapToGrid w:val="0"/>
              <w:jc w:val="center"/>
              <w:textAlignment w:val="center"/>
              <w:rPr>
                <w:sz w:val="21"/>
                <w:szCs w:val="21"/>
              </w:rPr>
            </w:pPr>
            <w:r>
              <w:rPr>
                <w:rFonts w:hint="eastAsia"/>
                <w:sz w:val="21"/>
                <w:szCs w:val="21"/>
              </w:rPr>
              <w:t>S6、S5、S20、S21、S22</w:t>
            </w:r>
          </w:p>
        </w:tc>
        <w:tc>
          <w:tcPr>
            <w:tcW w:w="4102" w:type="pct"/>
            <w:vAlign w:val="center"/>
          </w:tcPr>
          <w:p>
            <w:pPr>
              <w:adjustRightInd w:val="0"/>
              <w:snapToGrid w:val="0"/>
              <w:jc w:val="center"/>
              <w:textAlignment w:val="center"/>
              <w:rPr>
                <w:sz w:val="21"/>
                <w:szCs w:val="21"/>
              </w:rPr>
            </w:pPr>
            <w:r>
              <w:rPr>
                <w:rFonts w:hint="eastAsia"/>
                <w:sz w:val="21"/>
                <w:szCs w:val="21"/>
              </w:rPr>
              <w:t>地块内荒地及林地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98" w:type="pct"/>
            <w:vAlign w:val="center"/>
          </w:tcPr>
          <w:p>
            <w:pPr>
              <w:adjustRightInd w:val="0"/>
              <w:snapToGrid w:val="0"/>
              <w:jc w:val="center"/>
              <w:textAlignment w:val="center"/>
              <w:rPr>
                <w:sz w:val="21"/>
                <w:szCs w:val="21"/>
              </w:rPr>
            </w:pPr>
            <w:r>
              <w:rPr>
                <w:sz w:val="21"/>
                <w:szCs w:val="21"/>
              </w:rPr>
              <w:t>S</w:t>
            </w:r>
            <w:r>
              <w:rPr>
                <w:rFonts w:hint="eastAsia"/>
                <w:sz w:val="21"/>
                <w:szCs w:val="21"/>
              </w:rPr>
              <w:t>26</w:t>
            </w:r>
            <w:r>
              <w:rPr>
                <w:sz w:val="21"/>
                <w:szCs w:val="21"/>
              </w:rPr>
              <w:t>(</w:t>
            </w:r>
            <w:r>
              <w:rPr>
                <w:rFonts w:hint="eastAsia"/>
                <w:sz w:val="21"/>
                <w:szCs w:val="21"/>
              </w:rPr>
              <w:t>对照点</w:t>
            </w:r>
            <w:r>
              <w:rPr>
                <w:sz w:val="21"/>
                <w:szCs w:val="21"/>
              </w:rPr>
              <w:t>)</w:t>
            </w:r>
          </w:p>
        </w:tc>
        <w:tc>
          <w:tcPr>
            <w:tcW w:w="4102" w:type="pct"/>
            <w:vAlign w:val="center"/>
          </w:tcPr>
          <w:p>
            <w:pPr>
              <w:adjustRightInd w:val="0"/>
              <w:snapToGrid w:val="0"/>
              <w:jc w:val="center"/>
              <w:textAlignment w:val="center"/>
              <w:rPr>
                <w:sz w:val="21"/>
                <w:szCs w:val="21"/>
              </w:rPr>
            </w:pPr>
            <w:r>
              <w:rPr>
                <w:rFonts w:hint="eastAsia"/>
                <w:sz w:val="21"/>
                <w:szCs w:val="21"/>
              </w:rPr>
              <w:t>地块外东南侧对照点，位于地下水上游和夏季风上风向，现状为荒地。</w:t>
            </w:r>
          </w:p>
        </w:tc>
      </w:tr>
    </w:tbl>
    <w:p>
      <w:pPr>
        <w:pStyle w:val="116"/>
        <w:outlineLvl w:val="3"/>
        <w:rPr>
          <w:rFonts w:ascii="Times New Roman" w:hAnsi="Times New Roman" w:eastAsia="宋体"/>
          <w:b w:val="0"/>
          <w:bCs w:val="0"/>
          <w:sz w:val="24"/>
          <w:szCs w:val="24"/>
        </w:rPr>
      </w:pPr>
      <w:bookmarkStart w:id="57" w:name="_Toc149641990"/>
      <w:r>
        <w:rPr>
          <w:rFonts w:ascii="Times New Roman" w:hAnsi="Times New Roman" w:eastAsia="宋体"/>
          <w:b w:val="0"/>
          <w:bCs w:val="0"/>
          <w:sz w:val="24"/>
          <w:szCs w:val="24"/>
        </w:rPr>
        <w:t>5.1.2.2土壤快筛仪器</w:t>
      </w:r>
      <w:bookmarkEnd w:id="57"/>
    </w:p>
    <w:p>
      <w:pPr>
        <w:spacing w:line="440" w:lineRule="exact"/>
        <w:ind w:firstLine="480" w:firstLineChars="200"/>
        <w:rPr>
          <w:sz w:val="24"/>
          <w:szCs w:val="24"/>
        </w:rPr>
      </w:pPr>
      <w:r>
        <w:rPr>
          <w:sz w:val="24"/>
        </w:rPr>
        <w:t>本次快筛采用Trues700型光谱仪(GCY-565)和ppbRAE3000+VOC气体检测仪(GCY-667)对地块表层土壤进行现场快筛检测。</w:t>
      </w:r>
    </w:p>
    <w:p>
      <w:pPr>
        <w:spacing w:line="440" w:lineRule="exact"/>
        <w:ind w:firstLine="480" w:firstLineChars="200"/>
        <w:rPr>
          <w:sz w:val="24"/>
          <w:szCs w:val="24"/>
        </w:rPr>
      </w:pPr>
      <w:r>
        <w:rPr>
          <w:sz w:val="24"/>
          <w:szCs w:val="24"/>
        </w:rPr>
        <w:t>1、Trues700型光谱仪(XRF)</w:t>
      </w:r>
    </w:p>
    <w:p>
      <w:pPr>
        <w:spacing w:line="440" w:lineRule="exact"/>
        <w:ind w:firstLine="480" w:firstLineChars="200"/>
        <w:rPr>
          <w:sz w:val="24"/>
          <w:szCs w:val="24"/>
        </w:rPr>
      </w:pPr>
      <w:r>
        <w:rPr>
          <w:sz w:val="24"/>
          <w:szCs w:val="24"/>
        </w:rPr>
        <w:t>XRF用于土壤重金属快速定性及其含量的半定量检测。XRF利用X射线管产生入射X射线(初级X射线)，激发被测样品。受激发的样品中的每一种元素会放射出次级X射线，并且不同的元素所放射出的次级X射线具有特定的能量特性或波长特性。探测系统测量这些放射出来的次级X射线的能量及波长。仪器软件将探测系统所收集到的信息转换成样品中各种元素的种类及含量。</w:t>
      </w:r>
    </w:p>
    <w:p>
      <w:pPr>
        <w:spacing w:line="440" w:lineRule="exact"/>
        <w:ind w:firstLine="480" w:firstLineChars="200"/>
        <w:rPr>
          <w:sz w:val="24"/>
          <w:szCs w:val="24"/>
        </w:rPr>
      </w:pPr>
      <w:r>
        <w:rPr>
          <w:sz w:val="24"/>
          <w:szCs w:val="24"/>
        </w:rPr>
        <w:t>2、</w:t>
      </w:r>
      <w:r>
        <w:rPr>
          <w:sz w:val="24"/>
        </w:rPr>
        <w:t>ppbRAE3000+VOC气体检测仪</w:t>
      </w:r>
      <w:r>
        <w:rPr>
          <w:sz w:val="24"/>
          <w:szCs w:val="24"/>
        </w:rPr>
        <w:t>(PID)</w:t>
      </w:r>
    </w:p>
    <w:p>
      <w:pPr>
        <w:spacing w:line="440" w:lineRule="exact"/>
        <w:ind w:firstLine="480" w:firstLineChars="200"/>
        <w:rPr>
          <w:sz w:val="24"/>
          <w:szCs w:val="24"/>
        </w:rPr>
      </w:pPr>
      <w:r>
        <w:rPr>
          <w:sz w:val="24"/>
          <w:szCs w:val="24"/>
        </w:rPr>
        <w:t>PID用于土壤中VOCs快速检测，PID利用紫外光灯的能量离子化有机气体，再加以探测的仪器。其工作原理是利用每一种化合物都具有特定的游离能和游离效率，探测化合物游离后所长生的电流大小来进行半定量分析，可一定程度上反映土壤中挥发性有机物情况。</w:t>
      </w:r>
    </w:p>
    <w:p>
      <w:pPr>
        <w:pStyle w:val="116"/>
        <w:outlineLvl w:val="3"/>
        <w:rPr>
          <w:rFonts w:ascii="Times New Roman" w:hAnsi="Times New Roman" w:eastAsia="宋体"/>
          <w:b w:val="0"/>
          <w:bCs w:val="0"/>
          <w:sz w:val="24"/>
          <w:szCs w:val="24"/>
        </w:rPr>
      </w:pPr>
      <w:bookmarkStart w:id="58" w:name="_Toc149641991"/>
      <w:r>
        <w:rPr>
          <w:rFonts w:ascii="Times New Roman" w:hAnsi="Times New Roman" w:eastAsia="宋体"/>
          <w:b w:val="0"/>
          <w:bCs w:val="0"/>
          <w:sz w:val="24"/>
          <w:szCs w:val="24"/>
        </w:rPr>
        <w:t>5.1.2.3土壤快筛过程</w:t>
      </w:r>
      <w:bookmarkEnd w:id="58"/>
    </w:p>
    <w:p>
      <w:pPr>
        <w:spacing w:line="440" w:lineRule="exact"/>
        <w:ind w:firstLine="480" w:firstLineChars="200"/>
        <w:rPr>
          <w:sz w:val="24"/>
        </w:rPr>
      </w:pPr>
      <w:r>
        <w:rPr>
          <w:sz w:val="24"/>
          <w:szCs w:val="24"/>
        </w:rPr>
        <w:t>现场测试过程中注意控制顶空体积比、温度与平衡时间，确保现场筛查测试的一致性与稳定性。根据地块土壤情况和仪器灵敏度水平，设置PID、XRF等现场快筛检测仪器的最低检测限和报警限，检查设备运行情况，使用前进行校准，并填写《土壤快筛检测仪器校准记录单》(附件3)。</w:t>
      </w:r>
    </w:p>
    <w:p>
      <w:pPr>
        <w:spacing w:line="360" w:lineRule="auto"/>
        <w:ind w:firstLine="480" w:firstLineChars="200"/>
        <w:jc w:val="left"/>
        <w:rPr>
          <w:b/>
          <w:snapToGrid w:val="0"/>
          <w:sz w:val="24"/>
        </w:rPr>
      </w:pPr>
      <w:r>
        <w:rPr>
          <w:sz w:val="24"/>
        </w:rPr>
        <w:t>现场快筛检测土壤中VOCs时，用采样铲在VOCs取样相同位置采集土壤置于聚乙烯自封袋中，自封袋中土壤样品体积占1/2</w:t>
      </w:r>
      <w:r>
        <w:rPr>
          <w:rFonts w:eastAsia="MS Mincho"/>
          <w:sz w:val="24"/>
        </w:rPr>
        <w:t>〜</w:t>
      </w:r>
      <w:r>
        <w:rPr>
          <w:sz w:val="24"/>
        </w:rPr>
        <w:t>2/3自封袋体积。取样后，自封袋置于背光处进行快速检测。检测时，将土样揉碎，振荡自封袋约30s，静置2min后将PID探头放入自封袋顶空1/2处，紧闭自封袋，记录最高读数，填写《土壤快筛检测记录单》(附件4)。</w:t>
      </w:r>
    </w:p>
    <w:p>
      <w:pPr>
        <w:pStyle w:val="116"/>
        <w:jc w:val="left"/>
        <w:outlineLvl w:val="3"/>
        <w:rPr>
          <w:rFonts w:ascii="Times New Roman" w:hAnsi="Times New Roman" w:eastAsia="宋体"/>
          <w:b w:val="0"/>
          <w:bCs w:val="0"/>
          <w:sz w:val="24"/>
          <w:szCs w:val="24"/>
        </w:rPr>
      </w:pPr>
      <w:bookmarkStart w:id="59" w:name="_Toc149641992"/>
      <w:r>
        <w:rPr>
          <w:rFonts w:ascii="Times New Roman" w:hAnsi="Times New Roman" w:eastAsia="宋体"/>
          <w:b w:val="0"/>
          <w:bCs w:val="0"/>
          <w:sz w:val="24"/>
          <w:szCs w:val="24"/>
        </w:rPr>
        <w:t>5.1.2.3土壤快筛结果</w:t>
      </w:r>
      <w:bookmarkEnd w:id="59"/>
    </w:p>
    <w:p>
      <w:pPr>
        <w:spacing w:line="440" w:lineRule="exact"/>
        <w:ind w:firstLine="480" w:firstLineChars="200"/>
        <w:rPr>
          <w:sz w:val="24"/>
          <w:szCs w:val="24"/>
        </w:rPr>
      </w:pPr>
      <w:r>
        <w:rPr>
          <w:sz w:val="24"/>
        </w:rPr>
        <w:t>现场土壤快筛检测数据结果和快筛数据统计分析见表5.1-3和表5.1-4</w:t>
      </w:r>
    </w:p>
    <w:p>
      <w:pPr>
        <w:pStyle w:val="223"/>
        <w:spacing w:line="460" w:lineRule="exact"/>
        <w:ind w:firstLine="0"/>
        <w:jc w:val="center"/>
        <w:rPr>
          <w:b/>
          <w:sz w:val="24"/>
          <w:szCs w:val="24"/>
        </w:rPr>
        <w:sectPr>
          <w:pgSz w:w="11906" w:h="16838"/>
          <w:pgMar w:top="1418" w:right="1418" w:bottom="1418" w:left="1418" w:header="850" w:footer="850" w:gutter="0"/>
          <w:pgNumType w:fmt="numberInDash"/>
          <w:cols w:space="720" w:num="1"/>
          <w:docGrid w:type="lines" w:linePitch="312" w:charSpace="0"/>
        </w:sectPr>
      </w:pPr>
    </w:p>
    <w:p>
      <w:pPr>
        <w:pStyle w:val="223"/>
        <w:spacing w:line="460" w:lineRule="exact"/>
        <w:ind w:firstLine="0"/>
        <w:jc w:val="center"/>
        <w:rPr>
          <w:b/>
          <w:sz w:val="24"/>
          <w:szCs w:val="24"/>
        </w:rPr>
      </w:pPr>
      <w:r>
        <w:rPr>
          <w:b/>
          <w:sz w:val="24"/>
          <w:szCs w:val="24"/>
        </w:rPr>
        <w:t>表5.1-3  现场土壤快筛检测数据结果一览表</w:t>
      </w:r>
    </w:p>
    <w:tbl>
      <w:tblPr>
        <w:tblStyle w:val="26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651"/>
        <w:gridCol w:w="1544"/>
        <w:gridCol w:w="1412"/>
        <w:gridCol w:w="707"/>
        <w:gridCol w:w="1111"/>
        <w:gridCol w:w="1114"/>
        <w:gridCol w:w="1115"/>
        <w:gridCol w:w="947"/>
        <w:gridCol w:w="947"/>
        <w:gridCol w:w="1115"/>
        <w:gridCol w:w="1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6" w:type="pct"/>
            <w:vMerge w:val="restart"/>
            <w:vAlign w:val="center"/>
          </w:tcPr>
          <w:p>
            <w:pPr>
              <w:jc w:val="center"/>
              <w:rPr>
                <w:rFonts w:eastAsia="Times New Roman"/>
                <w:b/>
                <w:kern w:val="2"/>
                <w:sz w:val="21"/>
                <w:szCs w:val="21"/>
              </w:rPr>
            </w:pPr>
            <w:r>
              <w:rPr>
                <w:rFonts w:eastAsia="Times New Roman"/>
                <w:b/>
                <w:sz w:val="21"/>
                <w:szCs w:val="21"/>
              </w:rPr>
              <w:t>快检点位</w:t>
            </w:r>
          </w:p>
        </w:tc>
        <w:tc>
          <w:tcPr>
            <w:tcW w:w="580" w:type="pct"/>
            <w:vMerge w:val="restart"/>
            <w:vAlign w:val="center"/>
          </w:tcPr>
          <w:p>
            <w:pPr>
              <w:jc w:val="center"/>
              <w:rPr>
                <w:rFonts w:eastAsia="Times New Roman"/>
                <w:b/>
                <w:bCs/>
                <w:kern w:val="2"/>
                <w:sz w:val="21"/>
                <w:szCs w:val="21"/>
              </w:rPr>
            </w:pPr>
            <w:r>
              <w:rPr>
                <w:rFonts w:hint="eastAsia" w:ascii="宋体" w:hAnsi="宋体" w:eastAsia="Times New Roman" w:cs="宋体"/>
                <w:b/>
                <w:sz w:val="21"/>
                <w:szCs w:val="21"/>
              </w:rPr>
              <w:t>东经</w:t>
            </w:r>
          </w:p>
        </w:tc>
        <w:tc>
          <w:tcPr>
            <w:tcW w:w="542" w:type="pct"/>
            <w:vMerge w:val="restart"/>
            <w:vAlign w:val="center"/>
          </w:tcPr>
          <w:p>
            <w:pPr>
              <w:jc w:val="center"/>
              <w:rPr>
                <w:rFonts w:eastAsia="Times New Roman"/>
                <w:b/>
                <w:sz w:val="21"/>
                <w:szCs w:val="21"/>
              </w:rPr>
            </w:pPr>
            <w:r>
              <w:rPr>
                <w:rFonts w:hint="eastAsia" w:ascii="宋体" w:hAnsi="宋体" w:eastAsia="Times New Roman" w:cs="宋体"/>
                <w:b/>
                <w:bCs/>
                <w:sz w:val="21"/>
                <w:szCs w:val="21"/>
              </w:rPr>
              <w:t>北纬</w:t>
            </w:r>
          </w:p>
        </w:tc>
        <w:tc>
          <w:tcPr>
            <w:tcW w:w="497" w:type="pct"/>
            <w:vMerge w:val="restart"/>
            <w:vAlign w:val="center"/>
          </w:tcPr>
          <w:p>
            <w:pPr>
              <w:jc w:val="center"/>
              <w:rPr>
                <w:rFonts w:eastAsia="Times New Roman"/>
                <w:b/>
                <w:bCs/>
                <w:sz w:val="21"/>
                <w:szCs w:val="21"/>
              </w:rPr>
            </w:pPr>
            <w:r>
              <w:rPr>
                <w:rFonts w:hint="eastAsia" w:ascii="宋体" w:hAnsi="宋体" w:eastAsia="Times New Roman" w:cs="宋体"/>
                <w:b/>
                <w:sz w:val="21"/>
                <w:szCs w:val="21"/>
              </w:rPr>
              <w:t>土壤性状</w:t>
            </w:r>
          </w:p>
        </w:tc>
        <w:tc>
          <w:tcPr>
            <w:tcW w:w="2881" w:type="pct"/>
            <w:gridSpan w:val="8"/>
            <w:vAlign w:val="center"/>
          </w:tcPr>
          <w:p>
            <w:pPr>
              <w:jc w:val="center"/>
              <w:rPr>
                <w:rFonts w:eastAsia="Times New Roman"/>
                <w:b/>
                <w:bCs/>
                <w:spacing w:val="10"/>
                <w:kern w:val="2"/>
                <w:sz w:val="21"/>
                <w:szCs w:val="21"/>
              </w:rPr>
            </w:pPr>
            <w:r>
              <w:rPr>
                <w:rFonts w:hint="eastAsia" w:ascii="宋体" w:hAnsi="宋体" w:eastAsia="Times New Roman" w:cs="宋体"/>
                <w:b/>
                <w:bCs/>
                <w:spacing w:val="10"/>
                <w:kern w:val="2"/>
                <w:sz w:val="21"/>
                <w:szCs w:val="21"/>
              </w:rPr>
              <w:t>快筛因子</w:t>
            </w:r>
            <w:r>
              <w:rPr>
                <w:rFonts w:eastAsia="Times New Roman"/>
                <w:b/>
                <w:bCs/>
                <w:spacing w:val="10"/>
                <w:kern w:val="2"/>
                <w:sz w:val="21"/>
                <w:szCs w:val="21"/>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496" w:type="pct"/>
            <w:vMerge w:val="continue"/>
            <w:vAlign w:val="center"/>
          </w:tcPr>
          <w:p>
            <w:pPr>
              <w:jc w:val="center"/>
              <w:rPr>
                <w:rFonts w:eastAsia="Times New Roman"/>
                <w:b/>
                <w:sz w:val="21"/>
                <w:szCs w:val="21"/>
              </w:rPr>
            </w:pPr>
          </w:p>
        </w:tc>
        <w:tc>
          <w:tcPr>
            <w:tcW w:w="580" w:type="pct"/>
            <w:vMerge w:val="continue"/>
            <w:vAlign w:val="center"/>
          </w:tcPr>
          <w:p>
            <w:pPr>
              <w:jc w:val="center"/>
              <w:rPr>
                <w:rFonts w:eastAsia="Times New Roman"/>
                <w:b/>
                <w:bCs/>
                <w:sz w:val="21"/>
                <w:szCs w:val="21"/>
              </w:rPr>
            </w:pPr>
          </w:p>
        </w:tc>
        <w:tc>
          <w:tcPr>
            <w:tcW w:w="542" w:type="pct"/>
            <w:vMerge w:val="continue"/>
            <w:vAlign w:val="center"/>
          </w:tcPr>
          <w:p>
            <w:pPr>
              <w:jc w:val="center"/>
              <w:rPr>
                <w:rFonts w:eastAsia="Times New Roman"/>
                <w:b/>
                <w:sz w:val="21"/>
                <w:szCs w:val="21"/>
              </w:rPr>
            </w:pPr>
          </w:p>
        </w:tc>
        <w:tc>
          <w:tcPr>
            <w:tcW w:w="497" w:type="pct"/>
            <w:vMerge w:val="continue"/>
            <w:vAlign w:val="center"/>
          </w:tcPr>
          <w:p>
            <w:pPr>
              <w:jc w:val="center"/>
              <w:rPr>
                <w:rFonts w:eastAsia="Times New Roman"/>
                <w:b/>
                <w:sz w:val="21"/>
                <w:szCs w:val="21"/>
              </w:rPr>
            </w:pPr>
          </w:p>
        </w:tc>
        <w:tc>
          <w:tcPr>
            <w:tcW w:w="249" w:type="pct"/>
            <w:vAlign w:val="center"/>
          </w:tcPr>
          <w:p>
            <w:pPr>
              <w:jc w:val="center"/>
              <w:rPr>
                <w:rFonts w:eastAsia="Times New Roman"/>
                <w:b/>
                <w:sz w:val="21"/>
                <w:szCs w:val="21"/>
              </w:rPr>
            </w:pPr>
            <w:r>
              <w:rPr>
                <w:rFonts w:eastAsia="Times New Roman"/>
                <w:b/>
                <w:sz w:val="21"/>
                <w:szCs w:val="21"/>
              </w:rPr>
              <w:t>PID</w:t>
            </w:r>
          </w:p>
        </w:tc>
        <w:tc>
          <w:tcPr>
            <w:tcW w:w="391" w:type="pct"/>
            <w:vAlign w:val="center"/>
          </w:tcPr>
          <w:p>
            <w:pPr>
              <w:widowControl/>
              <w:jc w:val="center"/>
              <w:textAlignment w:val="center"/>
              <w:rPr>
                <w:rFonts w:eastAsia="Times New Roman"/>
                <w:b/>
                <w:sz w:val="21"/>
                <w:szCs w:val="21"/>
              </w:rPr>
            </w:pPr>
            <w:r>
              <w:rPr>
                <w:rFonts w:hint="eastAsia" w:ascii="宋体" w:hAnsi="宋体" w:eastAsia="Times New Roman" w:cs="宋体"/>
                <w:b/>
                <w:bCs/>
                <w:sz w:val="21"/>
                <w:szCs w:val="21"/>
                <w:lang w:bidi="ar"/>
              </w:rPr>
              <w:t>铜</w:t>
            </w:r>
          </w:p>
        </w:tc>
        <w:tc>
          <w:tcPr>
            <w:tcW w:w="392" w:type="pct"/>
            <w:vAlign w:val="center"/>
          </w:tcPr>
          <w:p>
            <w:pPr>
              <w:widowControl/>
              <w:jc w:val="center"/>
              <w:textAlignment w:val="center"/>
              <w:rPr>
                <w:rFonts w:eastAsia="Times New Roman"/>
                <w:b/>
                <w:sz w:val="21"/>
                <w:szCs w:val="21"/>
              </w:rPr>
            </w:pPr>
            <w:r>
              <w:rPr>
                <w:rFonts w:hint="eastAsia" w:ascii="宋体" w:hAnsi="宋体" w:eastAsia="Times New Roman" w:cs="宋体"/>
                <w:b/>
                <w:bCs/>
                <w:sz w:val="21"/>
                <w:szCs w:val="21"/>
                <w:lang w:bidi="ar"/>
              </w:rPr>
              <w:t>镍</w:t>
            </w:r>
          </w:p>
        </w:tc>
        <w:tc>
          <w:tcPr>
            <w:tcW w:w="392" w:type="pct"/>
            <w:vAlign w:val="center"/>
          </w:tcPr>
          <w:p>
            <w:pPr>
              <w:widowControl/>
              <w:jc w:val="center"/>
              <w:textAlignment w:val="center"/>
              <w:rPr>
                <w:rFonts w:eastAsia="Times New Roman"/>
                <w:b/>
                <w:sz w:val="21"/>
                <w:szCs w:val="21"/>
              </w:rPr>
            </w:pPr>
            <w:r>
              <w:rPr>
                <w:rFonts w:hint="eastAsia" w:ascii="宋体" w:hAnsi="宋体" w:eastAsia="Times New Roman" w:cs="宋体"/>
                <w:b/>
                <w:bCs/>
                <w:sz w:val="21"/>
                <w:szCs w:val="21"/>
                <w:lang w:bidi="ar"/>
              </w:rPr>
              <w:t>铅</w:t>
            </w:r>
          </w:p>
        </w:tc>
        <w:tc>
          <w:tcPr>
            <w:tcW w:w="333" w:type="pct"/>
            <w:vAlign w:val="center"/>
          </w:tcPr>
          <w:p>
            <w:pPr>
              <w:widowControl/>
              <w:jc w:val="center"/>
              <w:textAlignment w:val="center"/>
              <w:rPr>
                <w:rFonts w:eastAsia="Times New Roman"/>
                <w:b/>
                <w:sz w:val="21"/>
                <w:szCs w:val="21"/>
              </w:rPr>
            </w:pPr>
            <w:r>
              <w:rPr>
                <w:rFonts w:hint="eastAsia" w:ascii="宋体" w:hAnsi="宋体" w:eastAsia="Times New Roman" w:cs="宋体"/>
                <w:b/>
                <w:bCs/>
                <w:sz w:val="21"/>
                <w:szCs w:val="21"/>
                <w:lang w:bidi="ar"/>
              </w:rPr>
              <w:t>镉</w:t>
            </w:r>
          </w:p>
        </w:tc>
        <w:tc>
          <w:tcPr>
            <w:tcW w:w="333" w:type="pct"/>
            <w:vAlign w:val="center"/>
          </w:tcPr>
          <w:p>
            <w:pPr>
              <w:widowControl/>
              <w:jc w:val="center"/>
              <w:textAlignment w:val="center"/>
              <w:rPr>
                <w:rFonts w:eastAsia="Times New Roman"/>
                <w:b/>
                <w:sz w:val="21"/>
                <w:szCs w:val="21"/>
              </w:rPr>
            </w:pPr>
            <w:r>
              <w:rPr>
                <w:rFonts w:hint="eastAsia" w:ascii="宋体" w:hAnsi="宋体" w:eastAsia="Times New Roman" w:cs="宋体"/>
                <w:b/>
                <w:bCs/>
                <w:sz w:val="21"/>
                <w:szCs w:val="21"/>
                <w:lang w:bidi="ar"/>
              </w:rPr>
              <w:t>汞</w:t>
            </w:r>
          </w:p>
        </w:tc>
        <w:tc>
          <w:tcPr>
            <w:tcW w:w="392" w:type="pct"/>
            <w:vAlign w:val="center"/>
          </w:tcPr>
          <w:p>
            <w:pPr>
              <w:widowControl/>
              <w:jc w:val="center"/>
              <w:textAlignment w:val="bottom"/>
              <w:rPr>
                <w:rFonts w:eastAsia="Times New Roman"/>
                <w:b/>
                <w:sz w:val="21"/>
                <w:szCs w:val="21"/>
              </w:rPr>
            </w:pPr>
            <w:r>
              <w:rPr>
                <w:rFonts w:hint="eastAsia" w:ascii="宋体" w:hAnsi="宋体" w:eastAsia="Times New Roman" w:cs="宋体"/>
                <w:b/>
                <w:bCs/>
                <w:sz w:val="21"/>
                <w:szCs w:val="21"/>
                <w:lang w:bidi="ar"/>
              </w:rPr>
              <w:t>砷</w:t>
            </w:r>
          </w:p>
        </w:tc>
        <w:tc>
          <w:tcPr>
            <w:tcW w:w="398" w:type="pct"/>
            <w:vAlign w:val="center"/>
          </w:tcPr>
          <w:p>
            <w:pPr>
              <w:widowControl/>
              <w:jc w:val="center"/>
              <w:textAlignment w:val="bottom"/>
              <w:rPr>
                <w:rFonts w:eastAsia="Times New Roman"/>
                <w:b/>
                <w:bCs/>
                <w:sz w:val="21"/>
                <w:szCs w:val="21"/>
                <w:lang w:bidi="ar"/>
              </w:rPr>
            </w:pPr>
            <w:r>
              <w:rPr>
                <w:rFonts w:hint="eastAsia" w:ascii="宋体" w:hAnsi="宋体" w:eastAsia="Times New Roman" w:cs="宋体"/>
                <w:b/>
                <w:bCs/>
                <w:sz w:val="21"/>
                <w:szCs w:val="21"/>
                <w:lang w:bidi="ar"/>
              </w:rPr>
              <w:t>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6" w:type="pct"/>
            <w:vAlign w:val="center"/>
          </w:tcPr>
          <w:p>
            <w:pPr>
              <w:pStyle w:val="292"/>
              <w:numPr>
                <w:ilvl w:val="0"/>
                <w:numId w:val="10"/>
              </w:numPr>
              <w:ind w:firstLineChars="0"/>
              <w:jc w:val="center"/>
              <w:rPr>
                <w:rFonts w:eastAsia="Times New Roman"/>
                <w:sz w:val="21"/>
                <w:szCs w:val="21"/>
              </w:rPr>
            </w:pPr>
          </w:p>
        </w:tc>
        <w:tc>
          <w:tcPr>
            <w:tcW w:w="580"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 xml:space="preserve">119.558430472 </w:t>
            </w:r>
          </w:p>
        </w:tc>
        <w:tc>
          <w:tcPr>
            <w:tcW w:w="54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 xml:space="preserve">29.102341881 </w:t>
            </w:r>
          </w:p>
        </w:tc>
        <w:tc>
          <w:tcPr>
            <w:tcW w:w="497" w:type="pct"/>
            <w:vAlign w:val="center"/>
          </w:tcPr>
          <w:p>
            <w:pPr>
              <w:jc w:val="center"/>
              <w:rPr>
                <w:rFonts w:eastAsia="Times New Roman"/>
                <w:kern w:val="2"/>
                <w:sz w:val="21"/>
                <w:szCs w:val="21"/>
              </w:rPr>
            </w:pPr>
            <w:r>
              <w:rPr>
                <w:rFonts w:hint="eastAsia" w:eastAsia="Times New Roman"/>
                <w:kern w:val="2"/>
                <w:sz w:val="21"/>
                <w:szCs w:val="21"/>
              </w:rPr>
              <w:t>黏土</w:t>
            </w:r>
          </w:p>
        </w:tc>
        <w:tc>
          <w:tcPr>
            <w:tcW w:w="249"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51</w:t>
            </w:r>
          </w:p>
        </w:tc>
        <w:tc>
          <w:tcPr>
            <w:tcW w:w="391"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11.363</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8.888</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31.255</w:t>
            </w:r>
          </w:p>
        </w:tc>
        <w:tc>
          <w:tcPr>
            <w:tcW w:w="333"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0.054</w:t>
            </w:r>
          </w:p>
        </w:tc>
        <w:tc>
          <w:tcPr>
            <w:tcW w:w="333"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0.007</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7.784</w:t>
            </w:r>
          </w:p>
        </w:tc>
        <w:tc>
          <w:tcPr>
            <w:tcW w:w="398"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28.401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6" w:type="pct"/>
            <w:vAlign w:val="center"/>
          </w:tcPr>
          <w:p>
            <w:pPr>
              <w:pStyle w:val="292"/>
              <w:numPr>
                <w:ilvl w:val="0"/>
                <w:numId w:val="10"/>
              </w:numPr>
              <w:ind w:firstLineChars="0"/>
              <w:jc w:val="center"/>
              <w:rPr>
                <w:rFonts w:eastAsia="Times New Roman"/>
                <w:b/>
                <w:bCs/>
                <w:sz w:val="21"/>
                <w:szCs w:val="21"/>
              </w:rPr>
            </w:pPr>
          </w:p>
        </w:tc>
        <w:tc>
          <w:tcPr>
            <w:tcW w:w="580"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 xml:space="preserve">119.558280269 </w:t>
            </w:r>
          </w:p>
        </w:tc>
        <w:tc>
          <w:tcPr>
            <w:tcW w:w="54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 xml:space="preserve">29.101955640 </w:t>
            </w:r>
          </w:p>
        </w:tc>
        <w:tc>
          <w:tcPr>
            <w:tcW w:w="497" w:type="pct"/>
            <w:vAlign w:val="center"/>
          </w:tcPr>
          <w:p>
            <w:pPr>
              <w:jc w:val="center"/>
              <w:rPr>
                <w:rFonts w:eastAsia="Times New Roman"/>
                <w:kern w:val="2"/>
                <w:sz w:val="21"/>
                <w:szCs w:val="21"/>
              </w:rPr>
            </w:pPr>
            <w:r>
              <w:rPr>
                <w:rFonts w:hint="eastAsia" w:eastAsia="Times New Roman"/>
                <w:kern w:val="2"/>
                <w:sz w:val="21"/>
                <w:szCs w:val="21"/>
              </w:rPr>
              <w:t>粉质砂土</w:t>
            </w:r>
          </w:p>
        </w:tc>
        <w:tc>
          <w:tcPr>
            <w:tcW w:w="249"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72</w:t>
            </w:r>
          </w:p>
        </w:tc>
        <w:tc>
          <w:tcPr>
            <w:tcW w:w="391"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8.099</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5.879</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18.09</w:t>
            </w:r>
          </w:p>
        </w:tc>
        <w:tc>
          <w:tcPr>
            <w:tcW w:w="333"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0.03</w:t>
            </w:r>
          </w:p>
        </w:tc>
        <w:tc>
          <w:tcPr>
            <w:tcW w:w="333"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0.005</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4.446</w:t>
            </w:r>
          </w:p>
        </w:tc>
        <w:tc>
          <w:tcPr>
            <w:tcW w:w="398"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14.943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6" w:type="pct"/>
            <w:vAlign w:val="center"/>
          </w:tcPr>
          <w:p>
            <w:pPr>
              <w:pStyle w:val="292"/>
              <w:numPr>
                <w:ilvl w:val="0"/>
                <w:numId w:val="10"/>
              </w:numPr>
              <w:ind w:firstLineChars="0"/>
              <w:jc w:val="center"/>
              <w:rPr>
                <w:rFonts w:eastAsia="Times New Roman"/>
                <w:b/>
                <w:bCs/>
                <w:sz w:val="21"/>
                <w:szCs w:val="21"/>
              </w:rPr>
            </w:pPr>
          </w:p>
        </w:tc>
        <w:tc>
          <w:tcPr>
            <w:tcW w:w="580"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 xml:space="preserve">119.558079103 </w:t>
            </w:r>
          </w:p>
        </w:tc>
        <w:tc>
          <w:tcPr>
            <w:tcW w:w="54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 xml:space="preserve">29.101448700 </w:t>
            </w:r>
          </w:p>
        </w:tc>
        <w:tc>
          <w:tcPr>
            <w:tcW w:w="497" w:type="pct"/>
            <w:vAlign w:val="center"/>
          </w:tcPr>
          <w:p>
            <w:pPr>
              <w:jc w:val="center"/>
              <w:rPr>
                <w:rFonts w:eastAsia="Times New Roman"/>
                <w:kern w:val="2"/>
                <w:sz w:val="21"/>
                <w:szCs w:val="21"/>
              </w:rPr>
            </w:pPr>
            <w:r>
              <w:rPr>
                <w:rFonts w:hint="eastAsia" w:eastAsia="Times New Roman"/>
                <w:kern w:val="2"/>
                <w:sz w:val="21"/>
                <w:szCs w:val="21"/>
              </w:rPr>
              <w:t>粉土</w:t>
            </w:r>
          </w:p>
        </w:tc>
        <w:tc>
          <w:tcPr>
            <w:tcW w:w="249"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64</w:t>
            </w:r>
          </w:p>
        </w:tc>
        <w:tc>
          <w:tcPr>
            <w:tcW w:w="391"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9.606</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5.414</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25.883</w:t>
            </w:r>
          </w:p>
        </w:tc>
        <w:tc>
          <w:tcPr>
            <w:tcW w:w="333"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0.033</w:t>
            </w:r>
          </w:p>
        </w:tc>
        <w:tc>
          <w:tcPr>
            <w:tcW w:w="333"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0.006</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6.497</w:t>
            </w:r>
          </w:p>
        </w:tc>
        <w:tc>
          <w:tcPr>
            <w:tcW w:w="398"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15.377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6" w:type="pct"/>
            <w:vAlign w:val="center"/>
          </w:tcPr>
          <w:p>
            <w:pPr>
              <w:pStyle w:val="292"/>
              <w:numPr>
                <w:ilvl w:val="0"/>
                <w:numId w:val="10"/>
              </w:numPr>
              <w:ind w:firstLineChars="0"/>
              <w:jc w:val="center"/>
              <w:rPr>
                <w:rFonts w:eastAsia="Times New Roman"/>
                <w:sz w:val="21"/>
                <w:szCs w:val="21"/>
              </w:rPr>
            </w:pPr>
          </w:p>
        </w:tc>
        <w:tc>
          <w:tcPr>
            <w:tcW w:w="580"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 xml:space="preserve">119.557926217 </w:t>
            </w:r>
          </w:p>
        </w:tc>
        <w:tc>
          <w:tcPr>
            <w:tcW w:w="54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 xml:space="preserve">29.100979318 </w:t>
            </w:r>
          </w:p>
        </w:tc>
        <w:tc>
          <w:tcPr>
            <w:tcW w:w="497" w:type="pct"/>
            <w:vAlign w:val="center"/>
          </w:tcPr>
          <w:p>
            <w:pPr>
              <w:jc w:val="center"/>
              <w:rPr>
                <w:rFonts w:eastAsia="Times New Roman"/>
                <w:kern w:val="2"/>
                <w:sz w:val="21"/>
                <w:szCs w:val="21"/>
              </w:rPr>
            </w:pPr>
            <w:r>
              <w:rPr>
                <w:rFonts w:hint="eastAsia" w:eastAsia="Times New Roman"/>
                <w:kern w:val="2"/>
                <w:sz w:val="21"/>
                <w:szCs w:val="21"/>
              </w:rPr>
              <w:t>粉土</w:t>
            </w:r>
          </w:p>
        </w:tc>
        <w:tc>
          <w:tcPr>
            <w:tcW w:w="249"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72</w:t>
            </w:r>
          </w:p>
        </w:tc>
        <w:tc>
          <w:tcPr>
            <w:tcW w:w="391"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16.182</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12.700</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31.878</w:t>
            </w:r>
          </w:p>
        </w:tc>
        <w:tc>
          <w:tcPr>
            <w:tcW w:w="333"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0.061</w:t>
            </w:r>
          </w:p>
        </w:tc>
        <w:tc>
          <w:tcPr>
            <w:tcW w:w="333"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0.014</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9.393</w:t>
            </w:r>
          </w:p>
        </w:tc>
        <w:tc>
          <w:tcPr>
            <w:tcW w:w="398"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26.897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6" w:type="pct"/>
            <w:vAlign w:val="center"/>
          </w:tcPr>
          <w:p>
            <w:pPr>
              <w:pStyle w:val="292"/>
              <w:numPr>
                <w:ilvl w:val="0"/>
                <w:numId w:val="10"/>
              </w:numPr>
              <w:ind w:firstLineChars="0"/>
              <w:jc w:val="center"/>
              <w:rPr>
                <w:rFonts w:eastAsia="Times New Roman"/>
                <w:b/>
                <w:bCs/>
                <w:sz w:val="21"/>
                <w:szCs w:val="21"/>
              </w:rPr>
            </w:pPr>
          </w:p>
        </w:tc>
        <w:tc>
          <w:tcPr>
            <w:tcW w:w="580"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 xml:space="preserve">119.557609717 </w:t>
            </w:r>
          </w:p>
        </w:tc>
        <w:tc>
          <w:tcPr>
            <w:tcW w:w="54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 xml:space="preserve">29.101821531 </w:t>
            </w:r>
          </w:p>
        </w:tc>
        <w:tc>
          <w:tcPr>
            <w:tcW w:w="497" w:type="pct"/>
            <w:vAlign w:val="center"/>
          </w:tcPr>
          <w:p>
            <w:pPr>
              <w:jc w:val="center"/>
              <w:rPr>
                <w:rFonts w:eastAsia="Times New Roman"/>
                <w:kern w:val="2"/>
                <w:sz w:val="21"/>
                <w:szCs w:val="21"/>
              </w:rPr>
            </w:pPr>
            <w:r>
              <w:rPr>
                <w:rFonts w:hint="eastAsia" w:eastAsia="Times New Roman"/>
                <w:kern w:val="2"/>
                <w:sz w:val="21"/>
                <w:szCs w:val="21"/>
              </w:rPr>
              <w:t>粉质砂土</w:t>
            </w:r>
          </w:p>
        </w:tc>
        <w:tc>
          <w:tcPr>
            <w:tcW w:w="249"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59</w:t>
            </w:r>
          </w:p>
        </w:tc>
        <w:tc>
          <w:tcPr>
            <w:tcW w:w="391"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11.545</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9.147</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40.545</w:t>
            </w:r>
          </w:p>
        </w:tc>
        <w:tc>
          <w:tcPr>
            <w:tcW w:w="333"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0.051</w:t>
            </w:r>
          </w:p>
        </w:tc>
        <w:tc>
          <w:tcPr>
            <w:tcW w:w="333"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0.008</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10.999</w:t>
            </w:r>
          </w:p>
        </w:tc>
        <w:tc>
          <w:tcPr>
            <w:tcW w:w="398"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26.61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6" w:type="pct"/>
            <w:vAlign w:val="center"/>
          </w:tcPr>
          <w:p>
            <w:pPr>
              <w:pStyle w:val="292"/>
              <w:numPr>
                <w:ilvl w:val="0"/>
                <w:numId w:val="10"/>
              </w:numPr>
              <w:ind w:firstLineChars="0"/>
              <w:jc w:val="center"/>
              <w:rPr>
                <w:rFonts w:eastAsia="Times New Roman"/>
                <w:sz w:val="21"/>
                <w:szCs w:val="21"/>
              </w:rPr>
            </w:pPr>
          </w:p>
        </w:tc>
        <w:tc>
          <w:tcPr>
            <w:tcW w:w="580"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 xml:space="preserve">119.557502428 </w:t>
            </w:r>
          </w:p>
        </w:tc>
        <w:tc>
          <w:tcPr>
            <w:tcW w:w="54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 xml:space="preserve">29.102298964 </w:t>
            </w:r>
          </w:p>
        </w:tc>
        <w:tc>
          <w:tcPr>
            <w:tcW w:w="497" w:type="pct"/>
            <w:vAlign w:val="center"/>
          </w:tcPr>
          <w:p>
            <w:pPr>
              <w:jc w:val="center"/>
              <w:rPr>
                <w:rFonts w:eastAsia="Times New Roman"/>
                <w:kern w:val="2"/>
                <w:sz w:val="21"/>
                <w:szCs w:val="21"/>
              </w:rPr>
            </w:pPr>
            <w:r>
              <w:rPr>
                <w:rFonts w:hint="eastAsia" w:eastAsia="Times New Roman"/>
                <w:kern w:val="2"/>
                <w:sz w:val="21"/>
                <w:szCs w:val="21"/>
              </w:rPr>
              <w:t>粉土</w:t>
            </w:r>
          </w:p>
        </w:tc>
        <w:tc>
          <w:tcPr>
            <w:tcW w:w="249"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91</w:t>
            </w:r>
          </w:p>
        </w:tc>
        <w:tc>
          <w:tcPr>
            <w:tcW w:w="391"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11.582</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10.538</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32.088</w:t>
            </w:r>
          </w:p>
        </w:tc>
        <w:tc>
          <w:tcPr>
            <w:tcW w:w="333"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0.058</w:t>
            </w:r>
          </w:p>
        </w:tc>
        <w:tc>
          <w:tcPr>
            <w:tcW w:w="333"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0.013</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9.349</w:t>
            </w:r>
          </w:p>
        </w:tc>
        <w:tc>
          <w:tcPr>
            <w:tcW w:w="398"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29.932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6" w:type="pct"/>
            <w:vAlign w:val="center"/>
          </w:tcPr>
          <w:p>
            <w:pPr>
              <w:pStyle w:val="292"/>
              <w:numPr>
                <w:ilvl w:val="0"/>
                <w:numId w:val="10"/>
              </w:numPr>
              <w:ind w:firstLineChars="0"/>
              <w:jc w:val="center"/>
              <w:rPr>
                <w:rFonts w:eastAsia="Times New Roman"/>
                <w:b/>
                <w:bCs/>
                <w:sz w:val="21"/>
                <w:szCs w:val="21"/>
              </w:rPr>
            </w:pPr>
          </w:p>
        </w:tc>
        <w:tc>
          <w:tcPr>
            <w:tcW w:w="580"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 xml:space="preserve">119.557821611 </w:t>
            </w:r>
          </w:p>
        </w:tc>
        <w:tc>
          <w:tcPr>
            <w:tcW w:w="54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 xml:space="preserve">29.102661064 </w:t>
            </w:r>
          </w:p>
        </w:tc>
        <w:tc>
          <w:tcPr>
            <w:tcW w:w="497" w:type="pct"/>
            <w:vAlign w:val="center"/>
          </w:tcPr>
          <w:p>
            <w:pPr>
              <w:jc w:val="center"/>
              <w:rPr>
                <w:rFonts w:eastAsia="Times New Roman"/>
                <w:kern w:val="2"/>
                <w:sz w:val="21"/>
                <w:szCs w:val="21"/>
              </w:rPr>
            </w:pPr>
            <w:r>
              <w:rPr>
                <w:rFonts w:hint="eastAsia" w:eastAsia="Times New Roman"/>
                <w:kern w:val="2"/>
                <w:sz w:val="21"/>
                <w:szCs w:val="21"/>
              </w:rPr>
              <w:t>黏土</w:t>
            </w:r>
          </w:p>
        </w:tc>
        <w:tc>
          <w:tcPr>
            <w:tcW w:w="249"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88</w:t>
            </w:r>
          </w:p>
        </w:tc>
        <w:tc>
          <w:tcPr>
            <w:tcW w:w="391"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12.993</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8.126</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37.293</w:t>
            </w:r>
          </w:p>
        </w:tc>
        <w:tc>
          <w:tcPr>
            <w:tcW w:w="333"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0.061</w:t>
            </w:r>
          </w:p>
        </w:tc>
        <w:tc>
          <w:tcPr>
            <w:tcW w:w="333"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0.009</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9.89</w:t>
            </w:r>
          </w:p>
        </w:tc>
        <w:tc>
          <w:tcPr>
            <w:tcW w:w="398"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25.084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6" w:type="pct"/>
            <w:vAlign w:val="center"/>
          </w:tcPr>
          <w:p>
            <w:pPr>
              <w:pStyle w:val="292"/>
              <w:numPr>
                <w:ilvl w:val="0"/>
                <w:numId w:val="10"/>
              </w:numPr>
              <w:ind w:firstLineChars="0"/>
              <w:jc w:val="center"/>
              <w:rPr>
                <w:rFonts w:eastAsia="Times New Roman"/>
                <w:b/>
                <w:bCs/>
                <w:sz w:val="21"/>
                <w:szCs w:val="21"/>
              </w:rPr>
            </w:pPr>
          </w:p>
        </w:tc>
        <w:tc>
          <w:tcPr>
            <w:tcW w:w="580"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 xml:space="preserve">119.557413917 </w:t>
            </w:r>
          </w:p>
        </w:tc>
        <w:tc>
          <w:tcPr>
            <w:tcW w:w="54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 xml:space="preserve">29.102760303 </w:t>
            </w:r>
          </w:p>
        </w:tc>
        <w:tc>
          <w:tcPr>
            <w:tcW w:w="497" w:type="pct"/>
            <w:vAlign w:val="center"/>
          </w:tcPr>
          <w:p>
            <w:pPr>
              <w:jc w:val="center"/>
              <w:rPr>
                <w:rFonts w:eastAsia="Times New Roman"/>
                <w:kern w:val="2"/>
                <w:sz w:val="21"/>
                <w:szCs w:val="21"/>
              </w:rPr>
            </w:pPr>
            <w:r>
              <w:rPr>
                <w:rFonts w:hint="eastAsia" w:eastAsia="Times New Roman"/>
                <w:kern w:val="2"/>
                <w:sz w:val="21"/>
                <w:szCs w:val="21"/>
              </w:rPr>
              <w:t>砂质粉土</w:t>
            </w:r>
          </w:p>
        </w:tc>
        <w:tc>
          <w:tcPr>
            <w:tcW w:w="249"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90</w:t>
            </w:r>
          </w:p>
        </w:tc>
        <w:tc>
          <w:tcPr>
            <w:tcW w:w="391"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12.087</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10.578</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31.598</w:t>
            </w:r>
          </w:p>
        </w:tc>
        <w:tc>
          <w:tcPr>
            <w:tcW w:w="333"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0.062</w:t>
            </w:r>
          </w:p>
        </w:tc>
        <w:tc>
          <w:tcPr>
            <w:tcW w:w="333"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0.011</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8.601</w:t>
            </w:r>
          </w:p>
        </w:tc>
        <w:tc>
          <w:tcPr>
            <w:tcW w:w="398"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30.287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6" w:type="pct"/>
            <w:vAlign w:val="center"/>
          </w:tcPr>
          <w:p>
            <w:pPr>
              <w:pStyle w:val="292"/>
              <w:numPr>
                <w:ilvl w:val="0"/>
                <w:numId w:val="10"/>
              </w:numPr>
              <w:ind w:firstLineChars="0"/>
              <w:jc w:val="center"/>
              <w:rPr>
                <w:rFonts w:eastAsia="Times New Roman"/>
                <w:b/>
                <w:bCs/>
                <w:sz w:val="21"/>
                <w:szCs w:val="21"/>
              </w:rPr>
            </w:pPr>
          </w:p>
        </w:tc>
        <w:tc>
          <w:tcPr>
            <w:tcW w:w="580"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 xml:space="preserve">119.557041089 </w:t>
            </w:r>
          </w:p>
        </w:tc>
        <w:tc>
          <w:tcPr>
            <w:tcW w:w="54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 xml:space="preserve">29.102518906 </w:t>
            </w:r>
          </w:p>
        </w:tc>
        <w:tc>
          <w:tcPr>
            <w:tcW w:w="497" w:type="pct"/>
            <w:vAlign w:val="center"/>
          </w:tcPr>
          <w:p>
            <w:pPr>
              <w:jc w:val="center"/>
              <w:rPr>
                <w:rFonts w:eastAsia="Times New Roman"/>
                <w:kern w:val="2"/>
                <w:sz w:val="21"/>
                <w:szCs w:val="21"/>
              </w:rPr>
            </w:pPr>
            <w:r>
              <w:rPr>
                <w:rFonts w:hint="eastAsia" w:eastAsia="Times New Roman"/>
                <w:kern w:val="2"/>
                <w:sz w:val="21"/>
                <w:szCs w:val="21"/>
              </w:rPr>
              <w:t>砂质粉土</w:t>
            </w:r>
          </w:p>
        </w:tc>
        <w:tc>
          <w:tcPr>
            <w:tcW w:w="249"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78</w:t>
            </w:r>
          </w:p>
        </w:tc>
        <w:tc>
          <w:tcPr>
            <w:tcW w:w="391"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14.189</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11.091</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37.475</w:t>
            </w:r>
          </w:p>
        </w:tc>
        <w:tc>
          <w:tcPr>
            <w:tcW w:w="333"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0.06</w:t>
            </w:r>
          </w:p>
        </w:tc>
        <w:tc>
          <w:tcPr>
            <w:tcW w:w="333"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0.01</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11.391</w:t>
            </w:r>
          </w:p>
        </w:tc>
        <w:tc>
          <w:tcPr>
            <w:tcW w:w="398"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23.188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6" w:type="pct"/>
            <w:vAlign w:val="center"/>
          </w:tcPr>
          <w:p>
            <w:pPr>
              <w:pStyle w:val="292"/>
              <w:numPr>
                <w:ilvl w:val="0"/>
                <w:numId w:val="10"/>
              </w:numPr>
              <w:ind w:firstLineChars="0"/>
              <w:jc w:val="center"/>
              <w:rPr>
                <w:rFonts w:eastAsia="Times New Roman"/>
                <w:b/>
                <w:bCs/>
                <w:sz w:val="21"/>
                <w:szCs w:val="21"/>
              </w:rPr>
            </w:pPr>
          </w:p>
        </w:tc>
        <w:tc>
          <w:tcPr>
            <w:tcW w:w="580"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 xml:space="preserve">119.556858700 </w:t>
            </w:r>
          </w:p>
        </w:tc>
        <w:tc>
          <w:tcPr>
            <w:tcW w:w="54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 xml:space="preserve">29.102626194 </w:t>
            </w:r>
          </w:p>
        </w:tc>
        <w:tc>
          <w:tcPr>
            <w:tcW w:w="497" w:type="pct"/>
            <w:vAlign w:val="center"/>
          </w:tcPr>
          <w:p>
            <w:pPr>
              <w:jc w:val="center"/>
              <w:rPr>
                <w:rFonts w:eastAsia="Times New Roman"/>
                <w:kern w:val="2"/>
                <w:sz w:val="21"/>
                <w:szCs w:val="21"/>
              </w:rPr>
            </w:pPr>
            <w:r>
              <w:rPr>
                <w:rFonts w:hint="eastAsia" w:eastAsia="Times New Roman"/>
                <w:kern w:val="2"/>
                <w:sz w:val="21"/>
                <w:szCs w:val="21"/>
              </w:rPr>
              <w:t>砂质粉土</w:t>
            </w:r>
          </w:p>
        </w:tc>
        <w:tc>
          <w:tcPr>
            <w:tcW w:w="249"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117</w:t>
            </w:r>
          </w:p>
        </w:tc>
        <w:tc>
          <w:tcPr>
            <w:tcW w:w="391"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10.063</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7.923</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28.983</w:t>
            </w:r>
          </w:p>
        </w:tc>
        <w:tc>
          <w:tcPr>
            <w:tcW w:w="333"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0.045</w:t>
            </w:r>
          </w:p>
        </w:tc>
        <w:tc>
          <w:tcPr>
            <w:tcW w:w="333"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0.009</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8.48</w:t>
            </w:r>
          </w:p>
        </w:tc>
        <w:tc>
          <w:tcPr>
            <w:tcW w:w="398"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22.07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6" w:type="pct"/>
            <w:vAlign w:val="center"/>
          </w:tcPr>
          <w:p>
            <w:pPr>
              <w:pStyle w:val="292"/>
              <w:numPr>
                <w:ilvl w:val="0"/>
                <w:numId w:val="10"/>
              </w:numPr>
              <w:ind w:firstLineChars="0"/>
              <w:jc w:val="center"/>
              <w:rPr>
                <w:rFonts w:eastAsia="Times New Roman"/>
                <w:b/>
                <w:bCs/>
                <w:sz w:val="21"/>
                <w:szCs w:val="21"/>
              </w:rPr>
            </w:pPr>
          </w:p>
        </w:tc>
        <w:tc>
          <w:tcPr>
            <w:tcW w:w="580"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 xml:space="preserve">119.556759458 </w:t>
            </w:r>
          </w:p>
        </w:tc>
        <w:tc>
          <w:tcPr>
            <w:tcW w:w="54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 xml:space="preserve">29.103133131 </w:t>
            </w:r>
          </w:p>
        </w:tc>
        <w:tc>
          <w:tcPr>
            <w:tcW w:w="497" w:type="pct"/>
            <w:vAlign w:val="center"/>
          </w:tcPr>
          <w:p>
            <w:pPr>
              <w:jc w:val="center"/>
              <w:rPr>
                <w:rFonts w:eastAsia="Times New Roman"/>
                <w:kern w:val="2"/>
                <w:sz w:val="21"/>
                <w:szCs w:val="21"/>
              </w:rPr>
            </w:pPr>
            <w:r>
              <w:rPr>
                <w:rFonts w:hint="eastAsia" w:eastAsia="Times New Roman"/>
                <w:kern w:val="2"/>
                <w:sz w:val="21"/>
                <w:szCs w:val="21"/>
              </w:rPr>
              <w:t>粉土</w:t>
            </w:r>
          </w:p>
        </w:tc>
        <w:tc>
          <w:tcPr>
            <w:tcW w:w="249"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115</w:t>
            </w:r>
          </w:p>
        </w:tc>
        <w:tc>
          <w:tcPr>
            <w:tcW w:w="391"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12.323</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8.289</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24.732</w:t>
            </w:r>
          </w:p>
        </w:tc>
        <w:tc>
          <w:tcPr>
            <w:tcW w:w="333"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0.054</w:t>
            </w:r>
          </w:p>
        </w:tc>
        <w:tc>
          <w:tcPr>
            <w:tcW w:w="333"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0.005</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8.038</w:t>
            </w:r>
          </w:p>
        </w:tc>
        <w:tc>
          <w:tcPr>
            <w:tcW w:w="398"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19.262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6" w:type="pct"/>
            <w:vAlign w:val="center"/>
          </w:tcPr>
          <w:p>
            <w:pPr>
              <w:pStyle w:val="292"/>
              <w:numPr>
                <w:ilvl w:val="0"/>
                <w:numId w:val="10"/>
              </w:numPr>
              <w:ind w:firstLineChars="0"/>
              <w:jc w:val="center"/>
              <w:rPr>
                <w:rFonts w:eastAsia="Times New Roman"/>
                <w:b/>
                <w:bCs/>
                <w:sz w:val="21"/>
                <w:szCs w:val="21"/>
              </w:rPr>
            </w:pPr>
          </w:p>
        </w:tc>
        <w:tc>
          <w:tcPr>
            <w:tcW w:w="580"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 xml:space="preserve">119.556190828 </w:t>
            </w:r>
          </w:p>
        </w:tc>
        <w:tc>
          <w:tcPr>
            <w:tcW w:w="54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 xml:space="preserve">29.103339661 </w:t>
            </w:r>
          </w:p>
        </w:tc>
        <w:tc>
          <w:tcPr>
            <w:tcW w:w="497" w:type="pct"/>
            <w:vAlign w:val="center"/>
          </w:tcPr>
          <w:p>
            <w:pPr>
              <w:jc w:val="center"/>
              <w:rPr>
                <w:rFonts w:eastAsia="Times New Roman"/>
                <w:kern w:val="2"/>
                <w:sz w:val="21"/>
                <w:szCs w:val="21"/>
              </w:rPr>
            </w:pPr>
            <w:r>
              <w:rPr>
                <w:rFonts w:hint="eastAsia" w:eastAsia="Times New Roman"/>
                <w:kern w:val="2"/>
                <w:sz w:val="21"/>
                <w:szCs w:val="21"/>
              </w:rPr>
              <w:t>砂质粉土</w:t>
            </w:r>
          </w:p>
        </w:tc>
        <w:tc>
          <w:tcPr>
            <w:tcW w:w="249"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60</w:t>
            </w:r>
          </w:p>
        </w:tc>
        <w:tc>
          <w:tcPr>
            <w:tcW w:w="391"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14.323</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10.78</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34.004</w:t>
            </w:r>
          </w:p>
        </w:tc>
        <w:tc>
          <w:tcPr>
            <w:tcW w:w="333"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0.064</w:t>
            </w:r>
          </w:p>
        </w:tc>
        <w:tc>
          <w:tcPr>
            <w:tcW w:w="333"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0.01</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9.198</w:t>
            </w:r>
          </w:p>
        </w:tc>
        <w:tc>
          <w:tcPr>
            <w:tcW w:w="398"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25.172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6" w:type="pct"/>
            <w:vAlign w:val="center"/>
          </w:tcPr>
          <w:p>
            <w:pPr>
              <w:pStyle w:val="292"/>
              <w:numPr>
                <w:ilvl w:val="0"/>
                <w:numId w:val="10"/>
              </w:numPr>
              <w:ind w:firstLineChars="0"/>
              <w:jc w:val="center"/>
              <w:rPr>
                <w:rFonts w:eastAsia="Times New Roman"/>
                <w:b/>
                <w:bCs/>
                <w:sz w:val="21"/>
                <w:szCs w:val="21"/>
              </w:rPr>
            </w:pPr>
          </w:p>
        </w:tc>
        <w:tc>
          <w:tcPr>
            <w:tcW w:w="580"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 xml:space="preserve">119.556257883 </w:t>
            </w:r>
          </w:p>
        </w:tc>
        <w:tc>
          <w:tcPr>
            <w:tcW w:w="54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 xml:space="preserve">29.102832725 </w:t>
            </w:r>
          </w:p>
        </w:tc>
        <w:tc>
          <w:tcPr>
            <w:tcW w:w="497" w:type="pct"/>
            <w:vAlign w:val="center"/>
          </w:tcPr>
          <w:p>
            <w:pPr>
              <w:jc w:val="center"/>
              <w:rPr>
                <w:rFonts w:eastAsia="Times New Roman"/>
                <w:kern w:val="2"/>
                <w:sz w:val="21"/>
                <w:szCs w:val="21"/>
              </w:rPr>
            </w:pPr>
            <w:r>
              <w:rPr>
                <w:rFonts w:hint="eastAsia" w:eastAsia="Times New Roman"/>
                <w:kern w:val="2"/>
                <w:sz w:val="21"/>
                <w:szCs w:val="21"/>
              </w:rPr>
              <w:t>砂质粉土</w:t>
            </w:r>
          </w:p>
        </w:tc>
        <w:tc>
          <w:tcPr>
            <w:tcW w:w="249"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83</w:t>
            </w:r>
          </w:p>
        </w:tc>
        <w:tc>
          <w:tcPr>
            <w:tcW w:w="391"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13.068</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10.665</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43.152</w:t>
            </w:r>
          </w:p>
        </w:tc>
        <w:tc>
          <w:tcPr>
            <w:tcW w:w="333"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0.065</w:t>
            </w:r>
          </w:p>
        </w:tc>
        <w:tc>
          <w:tcPr>
            <w:tcW w:w="333"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0.007</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7.884</w:t>
            </w:r>
          </w:p>
        </w:tc>
        <w:tc>
          <w:tcPr>
            <w:tcW w:w="398"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31.866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6" w:type="pct"/>
            <w:vAlign w:val="center"/>
          </w:tcPr>
          <w:p>
            <w:pPr>
              <w:pStyle w:val="292"/>
              <w:numPr>
                <w:ilvl w:val="0"/>
                <w:numId w:val="10"/>
              </w:numPr>
              <w:ind w:firstLineChars="0"/>
              <w:jc w:val="center"/>
              <w:rPr>
                <w:rFonts w:eastAsia="Times New Roman"/>
                <w:b/>
                <w:bCs/>
                <w:sz w:val="21"/>
                <w:szCs w:val="21"/>
              </w:rPr>
            </w:pPr>
          </w:p>
        </w:tc>
        <w:tc>
          <w:tcPr>
            <w:tcW w:w="580"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 xml:space="preserve">119.555890422 </w:t>
            </w:r>
          </w:p>
        </w:tc>
        <w:tc>
          <w:tcPr>
            <w:tcW w:w="54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 xml:space="preserve">29.102545728 </w:t>
            </w:r>
          </w:p>
        </w:tc>
        <w:tc>
          <w:tcPr>
            <w:tcW w:w="497" w:type="pct"/>
            <w:vAlign w:val="center"/>
          </w:tcPr>
          <w:p>
            <w:pPr>
              <w:jc w:val="center"/>
              <w:rPr>
                <w:rFonts w:eastAsia="Times New Roman"/>
                <w:kern w:val="2"/>
                <w:sz w:val="21"/>
                <w:szCs w:val="21"/>
              </w:rPr>
            </w:pPr>
            <w:r>
              <w:rPr>
                <w:rFonts w:hint="eastAsia" w:eastAsia="Times New Roman"/>
                <w:kern w:val="2"/>
                <w:sz w:val="21"/>
                <w:szCs w:val="21"/>
              </w:rPr>
              <w:t>粉土</w:t>
            </w:r>
          </w:p>
        </w:tc>
        <w:tc>
          <w:tcPr>
            <w:tcW w:w="249"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68</w:t>
            </w:r>
          </w:p>
        </w:tc>
        <w:tc>
          <w:tcPr>
            <w:tcW w:w="391"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12.752</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8.032</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36.58</w:t>
            </w:r>
          </w:p>
        </w:tc>
        <w:tc>
          <w:tcPr>
            <w:tcW w:w="333"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0.057</w:t>
            </w:r>
          </w:p>
        </w:tc>
        <w:tc>
          <w:tcPr>
            <w:tcW w:w="333"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0.009</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7.755</w:t>
            </w:r>
          </w:p>
        </w:tc>
        <w:tc>
          <w:tcPr>
            <w:tcW w:w="398"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23.253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6" w:type="pct"/>
            <w:vAlign w:val="center"/>
          </w:tcPr>
          <w:p>
            <w:pPr>
              <w:pStyle w:val="292"/>
              <w:numPr>
                <w:ilvl w:val="0"/>
                <w:numId w:val="10"/>
              </w:numPr>
              <w:ind w:firstLineChars="0"/>
              <w:jc w:val="center"/>
              <w:rPr>
                <w:rFonts w:eastAsia="Times New Roman"/>
                <w:b/>
                <w:bCs/>
                <w:sz w:val="21"/>
                <w:szCs w:val="21"/>
              </w:rPr>
            </w:pPr>
          </w:p>
        </w:tc>
        <w:tc>
          <w:tcPr>
            <w:tcW w:w="580"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 xml:space="preserve">119.556418817 </w:t>
            </w:r>
          </w:p>
        </w:tc>
        <w:tc>
          <w:tcPr>
            <w:tcW w:w="54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 xml:space="preserve">29.102449167 </w:t>
            </w:r>
          </w:p>
        </w:tc>
        <w:tc>
          <w:tcPr>
            <w:tcW w:w="497" w:type="pct"/>
            <w:vAlign w:val="center"/>
          </w:tcPr>
          <w:p>
            <w:pPr>
              <w:jc w:val="center"/>
              <w:rPr>
                <w:rFonts w:eastAsia="Times New Roman"/>
                <w:kern w:val="2"/>
                <w:sz w:val="21"/>
                <w:szCs w:val="21"/>
              </w:rPr>
            </w:pPr>
            <w:r>
              <w:rPr>
                <w:rFonts w:hint="eastAsia" w:eastAsia="Times New Roman"/>
                <w:kern w:val="2"/>
                <w:sz w:val="21"/>
                <w:szCs w:val="21"/>
              </w:rPr>
              <w:t>砂质粉土</w:t>
            </w:r>
          </w:p>
        </w:tc>
        <w:tc>
          <w:tcPr>
            <w:tcW w:w="249"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93</w:t>
            </w:r>
          </w:p>
        </w:tc>
        <w:tc>
          <w:tcPr>
            <w:tcW w:w="391"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14.761</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9.997</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32.719</w:t>
            </w:r>
          </w:p>
        </w:tc>
        <w:tc>
          <w:tcPr>
            <w:tcW w:w="333"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0.062</w:t>
            </w:r>
          </w:p>
        </w:tc>
        <w:tc>
          <w:tcPr>
            <w:tcW w:w="333"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0.008</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10.867</w:t>
            </w:r>
          </w:p>
        </w:tc>
        <w:tc>
          <w:tcPr>
            <w:tcW w:w="398"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33.924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496" w:type="pct"/>
            <w:vAlign w:val="center"/>
          </w:tcPr>
          <w:p>
            <w:pPr>
              <w:pStyle w:val="292"/>
              <w:numPr>
                <w:ilvl w:val="0"/>
                <w:numId w:val="10"/>
              </w:numPr>
              <w:ind w:firstLineChars="0"/>
              <w:jc w:val="center"/>
              <w:rPr>
                <w:rFonts w:eastAsia="Times New Roman"/>
                <w:b/>
                <w:bCs/>
                <w:sz w:val="21"/>
                <w:szCs w:val="21"/>
              </w:rPr>
            </w:pPr>
          </w:p>
        </w:tc>
        <w:tc>
          <w:tcPr>
            <w:tcW w:w="580"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 xml:space="preserve">119.556134502 </w:t>
            </w:r>
          </w:p>
        </w:tc>
        <w:tc>
          <w:tcPr>
            <w:tcW w:w="54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 xml:space="preserve">29.101266315 </w:t>
            </w:r>
          </w:p>
        </w:tc>
        <w:tc>
          <w:tcPr>
            <w:tcW w:w="497" w:type="pct"/>
            <w:vAlign w:val="center"/>
          </w:tcPr>
          <w:p>
            <w:pPr>
              <w:jc w:val="center"/>
              <w:rPr>
                <w:rFonts w:eastAsia="Times New Roman"/>
                <w:kern w:val="2"/>
                <w:sz w:val="21"/>
                <w:szCs w:val="21"/>
              </w:rPr>
            </w:pPr>
            <w:r>
              <w:rPr>
                <w:rFonts w:hint="eastAsia" w:eastAsia="Times New Roman"/>
                <w:kern w:val="2"/>
                <w:sz w:val="21"/>
                <w:szCs w:val="21"/>
              </w:rPr>
              <w:t>素填土</w:t>
            </w:r>
          </w:p>
        </w:tc>
        <w:tc>
          <w:tcPr>
            <w:tcW w:w="249"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86</w:t>
            </w:r>
          </w:p>
        </w:tc>
        <w:tc>
          <w:tcPr>
            <w:tcW w:w="391"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12.305</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9.629</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31.039</w:t>
            </w:r>
          </w:p>
        </w:tc>
        <w:tc>
          <w:tcPr>
            <w:tcW w:w="333"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0.062</w:t>
            </w:r>
          </w:p>
        </w:tc>
        <w:tc>
          <w:tcPr>
            <w:tcW w:w="333"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0.008</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8.372</w:t>
            </w:r>
          </w:p>
        </w:tc>
        <w:tc>
          <w:tcPr>
            <w:tcW w:w="398"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24.613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496" w:type="pct"/>
            <w:vAlign w:val="center"/>
          </w:tcPr>
          <w:p>
            <w:pPr>
              <w:pStyle w:val="292"/>
              <w:numPr>
                <w:ilvl w:val="0"/>
                <w:numId w:val="10"/>
              </w:numPr>
              <w:ind w:firstLineChars="0"/>
              <w:jc w:val="center"/>
              <w:rPr>
                <w:rFonts w:eastAsia="Times New Roman"/>
                <w:b/>
                <w:bCs/>
                <w:sz w:val="21"/>
                <w:szCs w:val="21"/>
              </w:rPr>
            </w:pPr>
          </w:p>
        </w:tc>
        <w:tc>
          <w:tcPr>
            <w:tcW w:w="580"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 xml:space="preserve">119.555616836 </w:t>
            </w:r>
          </w:p>
        </w:tc>
        <w:tc>
          <w:tcPr>
            <w:tcW w:w="54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 xml:space="preserve">29.101891269 </w:t>
            </w:r>
          </w:p>
        </w:tc>
        <w:tc>
          <w:tcPr>
            <w:tcW w:w="497" w:type="pct"/>
            <w:vAlign w:val="center"/>
          </w:tcPr>
          <w:p>
            <w:pPr>
              <w:jc w:val="center"/>
              <w:rPr>
                <w:rFonts w:eastAsia="Times New Roman"/>
                <w:kern w:val="2"/>
                <w:sz w:val="21"/>
                <w:szCs w:val="21"/>
              </w:rPr>
            </w:pPr>
            <w:r>
              <w:rPr>
                <w:rFonts w:hint="eastAsia" w:eastAsia="Times New Roman"/>
                <w:kern w:val="2"/>
                <w:sz w:val="21"/>
                <w:szCs w:val="21"/>
              </w:rPr>
              <w:t>素填土</w:t>
            </w:r>
          </w:p>
        </w:tc>
        <w:tc>
          <w:tcPr>
            <w:tcW w:w="249"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97</w:t>
            </w:r>
          </w:p>
        </w:tc>
        <w:tc>
          <w:tcPr>
            <w:tcW w:w="391"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18.206</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22.147</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29.486</w:t>
            </w:r>
          </w:p>
        </w:tc>
        <w:tc>
          <w:tcPr>
            <w:tcW w:w="333"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0.155</w:t>
            </w:r>
          </w:p>
        </w:tc>
        <w:tc>
          <w:tcPr>
            <w:tcW w:w="333"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0.036</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11.635</w:t>
            </w:r>
          </w:p>
        </w:tc>
        <w:tc>
          <w:tcPr>
            <w:tcW w:w="398"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71.637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496" w:type="pct"/>
            <w:vAlign w:val="center"/>
          </w:tcPr>
          <w:p>
            <w:pPr>
              <w:pStyle w:val="292"/>
              <w:numPr>
                <w:ilvl w:val="0"/>
                <w:numId w:val="10"/>
              </w:numPr>
              <w:ind w:firstLineChars="0"/>
              <w:jc w:val="center"/>
              <w:rPr>
                <w:rFonts w:eastAsia="Times New Roman"/>
                <w:b/>
                <w:bCs/>
                <w:sz w:val="21"/>
                <w:szCs w:val="21"/>
              </w:rPr>
            </w:pPr>
          </w:p>
        </w:tc>
        <w:tc>
          <w:tcPr>
            <w:tcW w:w="580"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 xml:space="preserve">119.555418353 </w:t>
            </w:r>
          </w:p>
        </w:tc>
        <w:tc>
          <w:tcPr>
            <w:tcW w:w="54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 xml:space="preserve">29.101427247 </w:t>
            </w:r>
          </w:p>
        </w:tc>
        <w:tc>
          <w:tcPr>
            <w:tcW w:w="497" w:type="pct"/>
            <w:vAlign w:val="center"/>
          </w:tcPr>
          <w:p>
            <w:pPr>
              <w:jc w:val="center"/>
              <w:rPr>
                <w:rFonts w:eastAsia="Times New Roman"/>
                <w:kern w:val="2"/>
                <w:sz w:val="21"/>
                <w:szCs w:val="21"/>
              </w:rPr>
            </w:pPr>
            <w:r>
              <w:rPr>
                <w:rFonts w:hint="eastAsia" w:eastAsia="Times New Roman"/>
                <w:kern w:val="2"/>
                <w:sz w:val="21"/>
                <w:szCs w:val="21"/>
              </w:rPr>
              <w:t>素填土</w:t>
            </w:r>
          </w:p>
        </w:tc>
        <w:tc>
          <w:tcPr>
            <w:tcW w:w="249"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81</w:t>
            </w:r>
          </w:p>
        </w:tc>
        <w:tc>
          <w:tcPr>
            <w:tcW w:w="391"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15.594</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20.613</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16.743</w:t>
            </w:r>
          </w:p>
        </w:tc>
        <w:tc>
          <w:tcPr>
            <w:tcW w:w="333"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0.072</w:t>
            </w:r>
          </w:p>
        </w:tc>
        <w:tc>
          <w:tcPr>
            <w:tcW w:w="333"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0.014</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9.384</w:t>
            </w:r>
          </w:p>
        </w:tc>
        <w:tc>
          <w:tcPr>
            <w:tcW w:w="398"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28.24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6" w:type="pct"/>
            <w:vAlign w:val="center"/>
          </w:tcPr>
          <w:p>
            <w:pPr>
              <w:pStyle w:val="292"/>
              <w:numPr>
                <w:ilvl w:val="0"/>
                <w:numId w:val="10"/>
              </w:numPr>
              <w:ind w:firstLineChars="0"/>
              <w:jc w:val="center"/>
              <w:rPr>
                <w:rFonts w:eastAsia="Times New Roman"/>
                <w:b/>
                <w:bCs/>
                <w:sz w:val="21"/>
                <w:szCs w:val="21"/>
              </w:rPr>
            </w:pPr>
          </w:p>
        </w:tc>
        <w:tc>
          <w:tcPr>
            <w:tcW w:w="580"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 xml:space="preserve">119.555936020 </w:t>
            </w:r>
          </w:p>
        </w:tc>
        <w:tc>
          <w:tcPr>
            <w:tcW w:w="54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 xml:space="preserve">29.101703515 </w:t>
            </w:r>
          </w:p>
        </w:tc>
        <w:tc>
          <w:tcPr>
            <w:tcW w:w="497" w:type="pct"/>
            <w:vAlign w:val="center"/>
          </w:tcPr>
          <w:p>
            <w:pPr>
              <w:jc w:val="center"/>
              <w:rPr>
                <w:rFonts w:eastAsia="Times New Roman"/>
                <w:kern w:val="2"/>
                <w:sz w:val="21"/>
                <w:szCs w:val="21"/>
              </w:rPr>
            </w:pPr>
            <w:r>
              <w:rPr>
                <w:rFonts w:hint="eastAsia" w:eastAsia="Times New Roman"/>
                <w:kern w:val="2"/>
                <w:sz w:val="21"/>
                <w:szCs w:val="21"/>
              </w:rPr>
              <w:t>粉土</w:t>
            </w:r>
          </w:p>
        </w:tc>
        <w:tc>
          <w:tcPr>
            <w:tcW w:w="249"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75</w:t>
            </w:r>
          </w:p>
        </w:tc>
        <w:tc>
          <w:tcPr>
            <w:tcW w:w="391"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12.959</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10.201</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34.148</w:t>
            </w:r>
          </w:p>
        </w:tc>
        <w:tc>
          <w:tcPr>
            <w:tcW w:w="333"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0.065</w:t>
            </w:r>
          </w:p>
        </w:tc>
        <w:tc>
          <w:tcPr>
            <w:tcW w:w="333"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0.008</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9.784</w:t>
            </w:r>
          </w:p>
        </w:tc>
        <w:tc>
          <w:tcPr>
            <w:tcW w:w="398"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37.696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6" w:type="pct"/>
            <w:vAlign w:val="center"/>
          </w:tcPr>
          <w:p>
            <w:pPr>
              <w:pStyle w:val="292"/>
              <w:numPr>
                <w:ilvl w:val="0"/>
                <w:numId w:val="10"/>
              </w:numPr>
              <w:ind w:firstLineChars="0"/>
              <w:jc w:val="center"/>
              <w:rPr>
                <w:rFonts w:eastAsia="Times New Roman"/>
                <w:b/>
                <w:bCs/>
                <w:sz w:val="21"/>
                <w:szCs w:val="21"/>
              </w:rPr>
            </w:pPr>
          </w:p>
        </w:tc>
        <w:tc>
          <w:tcPr>
            <w:tcW w:w="580"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 xml:space="preserve">119.556683014 </w:t>
            </w:r>
          </w:p>
        </w:tc>
        <w:tc>
          <w:tcPr>
            <w:tcW w:w="54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 xml:space="preserve">29.100987363 </w:t>
            </w:r>
          </w:p>
        </w:tc>
        <w:tc>
          <w:tcPr>
            <w:tcW w:w="497" w:type="pct"/>
            <w:vAlign w:val="center"/>
          </w:tcPr>
          <w:p>
            <w:pPr>
              <w:jc w:val="center"/>
              <w:rPr>
                <w:rFonts w:eastAsia="Times New Roman"/>
                <w:kern w:val="2"/>
                <w:sz w:val="21"/>
                <w:szCs w:val="21"/>
              </w:rPr>
            </w:pPr>
            <w:r>
              <w:rPr>
                <w:rFonts w:hint="eastAsia" w:eastAsia="Times New Roman"/>
                <w:kern w:val="2"/>
                <w:sz w:val="21"/>
                <w:szCs w:val="21"/>
              </w:rPr>
              <w:t>粉土</w:t>
            </w:r>
          </w:p>
        </w:tc>
        <w:tc>
          <w:tcPr>
            <w:tcW w:w="249"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68</w:t>
            </w:r>
          </w:p>
        </w:tc>
        <w:tc>
          <w:tcPr>
            <w:tcW w:w="391"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13.058</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9.845</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29.267</w:t>
            </w:r>
          </w:p>
        </w:tc>
        <w:tc>
          <w:tcPr>
            <w:tcW w:w="333"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0.062</w:t>
            </w:r>
          </w:p>
        </w:tc>
        <w:tc>
          <w:tcPr>
            <w:tcW w:w="333"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0.006</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8.622</w:t>
            </w:r>
          </w:p>
        </w:tc>
        <w:tc>
          <w:tcPr>
            <w:tcW w:w="398"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21.119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6" w:type="pct"/>
            <w:vAlign w:val="center"/>
          </w:tcPr>
          <w:p>
            <w:pPr>
              <w:pStyle w:val="292"/>
              <w:numPr>
                <w:ilvl w:val="0"/>
                <w:numId w:val="10"/>
              </w:numPr>
              <w:ind w:firstLineChars="0"/>
              <w:jc w:val="center"/>
              <w:rPr>
                <w:rFonts w:eastAsia="Times New Roman"/>
                <w:b/>
                <w:bCs/>
                <w:sz w:val="21"/>
                <w:szCs w:val="21"/>
              </w:rPr>
            </w:pPr>
          </w:p>
        </w:tc>
        <w:tc>
          <w:tcPr>
            <w:tcW w:w="580"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 xml:space="preserve">119.557475608 </w:t>
            </w:r>
          </w:p>
        </w:tc>
        <w:tc>
          <w:tcPr>
            <w:tcW w:w="54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 xml:space="preserve">29.100493839 </w:t>
            </w:r>
          </w:p>
        </w:tc>
        <w:tc>
          <w:tcPr>
            <w:tcW w:w="497" w:type="pct"/>
            <w:vAlign w:val="center"/>
          </w:tcPr>
          <w:p>
            <w:pPr>
              <w:jc w:val="center"/>
              <w:rPr>
                <w:rFonts w:eastAsia="Times New Roman"/>
                <w:kern w:val="2"/>
                <w:sz w:val="21"/>
                <w:szCs w:val="21"/>
              </w:rPr>
            </w:pPr>
            <w:r>
              <w:rPr>
                <w:rFonts w:hint="eastAsia" w:eastAsia="Times New Roman"/>
                <w:kern w:val="2"/>
                <w:sz w:val="21"/>
                <w:szCs w:val="21"/>
              </w:rPr>
              <w:t>粉土</w:t>
            </w:r>
          </w:p>
        </w:tc>
        <w:tc>
          <w:tcPr>
            <w:tcW w:w="249"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123</w:t>
            </w:r>
          </w:p>
        </w:tc>
        <w:tc>
          <w:tcPr>
            <w:tcW w:w="391"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12.647</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9.083</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35.062</w:t>
            </w:r>
          </w:p>
        </w:tc>
        <w:tc>
          <w:tcPr>
            <w:tcW w:w="333"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0.06</w:t>
            </w:r>
          </w:p>
        </w:tc>
        <w:tc>
          <w:tcPr>
            <w:tcW w:w="333"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0.009</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9.28</w:t>
            </w:r>
          </w:p>
        </w:tc>
        <w:tc>
          <w:tcPr>
            <w:tcW w:w="398"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21.547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6" w:type="pct"/>
            <w:vAlign w:val="center"/>
          </w:tcPr>
          <w:p>
            <w:pPr>
              <w:pStyle w:val="292"/>
              <w:numPr>
                <w:ilvl w:val="0"/>
                <w:numId w:val="10"/>
              </w:numPr>
              <w:ind w:firstLineChars="0"/>
              <w:jc w:val="center"/>
              <w:rPr>
                <w:rFonts w:eastAsia="Times New Roman"/>
                <w:b/>
                <w:bCs/>
                <w:sz w:val="21"/>
                <w:szCs w:val="21"/>
              </w:rPr>
            </w:pPr>
          </w:p>
        </w:tc>
        <w:tc>
          <w:tcPr>
            <w:tcW w:w="580"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 xml:space="preserve">119.556550244 </w:t>
            </w:r>
          </w:p>
        </w:tc>
        <w:tc>
          <w:tcPr>
            <w:tcW w:w="54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 xml:space="preserve">29.101462114 </w:t>
            </w:r>
          </w:p>
        </w:tc>
        <w:tc>
          <w:tcPr>
            <w:tcW w:w="497" w:type="pct"/>
            <w:vAlign w:val="center"/>
          </w:tcPr>
          <w:p>
            <w:pPr>
              <w:jc w:val="center"/>
              <w:rPr>
                <w:rFonts w:eastAsia="Times New Roman"/>
                <w:kern w:val="2"/>
                <w:sz w:val="21"/>
                <w:szCs w:val="21"/>
              </w:rPr>
            </w:pPr>
            <w:r>
              <w:rPr>
                <w:rFonts w:hint="eastAsia" w:eastAsia="Times New Roman"/>
                <w:kern w:val="2"/>
                <w:sz w:val="21"/>
                <w:szCs w:val="21"/>
              </w:rPr>
              <w:t>粉土</w:t>
            </w:r>
          </w:p>
        </w:tc>
        <w:tc>
          <w:tcPr>
            <w:tcW w:w="249"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78</w:t>
            </w:r>
          </w:p>
        </w:tc>
        <w:tc>
          <w:tcPr>
            <w:tcW w:w="391"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11.453</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7.151</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27.961</w:t>
            </w:r>
          </w:p>
        </w:tc>
        <w:tc>
          <w:tcPr>
            <w:tcW w:w="333"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0.047</w:t>
            </w:r>
          </w:p>
        </w:tc>
        <w:tc>
          <w:tcPr>
            <w:tcW w:w="333"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0.008</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7.217</w:t>
            </w:r>
          </w:p>
        </w:tc>
        <w:tc>
          <w:tcPr>
            <w:tcW w:w="398"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24.374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6" w:type="pct"/>
            <w:vAlign w:val="center"/>
          </w:tcPr>
          <w:p>
            <w:pPr>
              <w:pStyle w:val="292"/>
              <w:numPr>
                <w:ilvl w:val="0"/>
                <w:numId w:val="10"/>
              </w:numPr>
              <w:ind w:firstLineChars="0"/>
              <w:jc w:val="center"/>
              <w:rPr>
                <w:rFonts w:eastAsia="Times New Roman"/>
                <w:b/>
                <w:bCs/>
                <w:sz w:val="21"/>
                <w:szCs w:val="21"/>
              </w:rPr>
            </w:pPr>
          </w:p>
        </w:tc>
        <w:tc>
          <w:tcPr>
            <w:tcW w:w="580"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 xml:space="preserve">119.556566339 </w:t>
            </w:r>
          </w:p>
        </w:tc>
        <w:tc>
          <w:tcPr>
            <w:tcW w:w="54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 xml:space="preserve">29.101982464 </w:t>
            </w:r>
          </w:p>
        </w:tc>
        <w:tc>
          <w:tcPr>
            <w:tcW w:w="497" w:type="pct"/>
            <w:vAlign w:val="center"/>
          </w:tcPr>
          <w:p>
            <w:pPr>
              <w:jc w:val="center"/>
              <w:rPr>
                <w:rFonts w:eastAsia="Times New Roman"/>
                <w:kern w:val="2"/>
                <w:sz w:val="21"/>
                <w:szCs w:val="21"/>
              </w:rPr>
            </w:pPr>
            <w:r>
              <w:rPr>
                <w:rFonts w:hint="eastAsia" w:eastAsia="Times New Roman"/>
                <w:kern w:val="2"/>
                <w:sz w:val="21"/>
                <w:szCs w:val="21"/>
              </w:rPr>
              <w:t>砂土</w:t>
            </w:r>
          </w:p>
        </w:tc>
        <w:tc>
          <w:tcPr>
            <w:tcW w:w="249"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84</w:t>
            </w:r>
          </w:p>
        </w:tc>
        <w:tc>
          <w:tcPr>
            <w:tcW w:w="391"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11.519</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9.591</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30.318</w:t>
            </w:r>
          </w:p>
        </w:tc>
        <w:tc>
          <w:tcPr>
            <w:tcW w:w="333"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0.055</w:t>
            </w:r>
          </w:p>
        </w:tc>
        <w:tc>
          <w:tcPr>
            <w:tcW w:w="333"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0.008</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10.738</w:t>
            </w:r>
          </w:p>
        </w:tc>
        <w:tc>
          <w:tcPr>
            <w:tcW w:w="398"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20.576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6" w:type="pct"/>
            <w:vAlign w:val="center"/>
          </w:tcPr>
          <w:p>
            <w:pPr>
              <w:pStyle w:val="292"/>
              <w:numPr>
                <w:ilvl w:val="0"/>
                <w:numId w:val="10"/>
              </w:numPr>
              <w:ind w:firstLineChars="0"/>
              <w:jc w:val="center"/>
              <w:rPr>
                <w:rFonts w:eastAsia="Times New Roman"/>
                <w:b/>
                <w:bCs/>
                <w:sz w:val="21"/>
                <w:szCs w:val="21"/>
              </w:rPr>
            </w:pPr>
          </w:p>
        </w:tc>
        <w:tc>
          <w:tcPr>
            <w:tcW w:w="580"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 xml:space="preserve">119.557236889 </w:t>
            </w:r>
          </w:p>
        </w:tc>
        <w:tc>
          <w:tcPr>
            <w:tcW w:w="54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 xml:space="preserve">29.101759839 </w:t>
            </w:r>
          </w:p>
        </w:tc>
        <w:tc>
          <w:tcPr>
            <w:tcW w:w="497" w:type="pct"/>
            <w:vAlign w:val="center"/>
          </w:tcPr>
          <w:p>
            <w:pPr>
              <w:jc w:val="center"/>
              <w:rPr>
                <w:rFonts w:eastAsia="Times New Roman"/>
                <w:kern w:val="2"/>
                <w:sz w:val="21"/>
                <w:szCs w:val="21"/>
              </w:rPr>
            </w:pPr>
            <w:r>
              <w:rPr>
                <w:rFonts w:hint="eastAsia" w:eastAsia="Times New Roman"/>
                <w:kern w:val="2"/>
                <w:sz w:val="21"/>
                <w:szCs w:val="21"/>
              </w:rPr>
              <w:t>砂质粉土</w:t>
            </w:r>
          </w:p>
        </w:tc>
        <w:tc>
          <w:tcPr>
            <w:tcW w:w="249"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89</w:t>
            </w:r>
          </w:p>
        </w:tc>
        <w:tc>
          <w:tcPr>
            <w:tcW w:w="391"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13.195</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10.243</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32.243</w:t>
            </w:r>
          </w:p>
        </w:tc>
        <w:tc>
          <w:tcPr>
            <w:tcW w:w="333"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0.063</w:t>
            </w:r>
          </w:p>
        </w:tc>
        <w:tc>
          <w:tcPr>
            <w:tcW w:w="333"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0.01</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9.516</w:t>
            </w:r>
          </w:p>
        </w:tc>
        <w:tc>
          <w:tcPr>
            <w:tcW w:w="398"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25.654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6" w:type="pct"/>
            <w:vAlign w:val="center"/>
          </w:tcPr>
          <w:p>
            <w:pPr>
              <w:pStyle w:val="292"/>
              <w:numPr>
                <w:ilvl w:val="0"/>
                <w:numId w:val="10"/>
              </w:numPr>
              <w:ind w:firstLineChars="0"/>
              <w:jc w:val="center"/>
              <w:rPr>
                <w:rFonts w:eastAsia="Times New Roman"/>
                <w:b/>
                <w:bCs/>
                <w:sz w:val="21"/>
                <w:szCs w:val="21"/>
              </w:rPr>
            </w:pPr>
          </w:p>
        </w:tc>
        <w:tc>
          <w:tcPr>
            <w:tcW w:w="580"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 xml:space="preserve">119.557443419 </w:t>
            </w:r>
          </w:p>
        </w:tc>
        <w:tc>
          <w:tcPr>
            <w:tcW w:w="54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 xml:space="preserve">29.101271678 </w:t>
            </w:r>
          </w:p>
        </w:tc>
        <w:tc>
          <w:tcPr>
            <w:tcW w:w="497" w:type="pct"/>
            <w:vAlign w:val="center"/>
          </w:tcPr>
          <w:p>
            <w:pPr>
              <w:jc w:val="center"/>
              <w:rPr>
                <w:rFonts w:eastAsia="Times New Roman"/>
                <w:kern w:val="2"/>
                <w:sz w:val="21"/>
                <w:szCs w:val="21"/>
              </w:rPr>
            </w:pPr>
            <w:r>
              <w:rPr>
                <w:rFonts w:hint="eastAsia" w:eastAsia="Times New Roman"/>
                <w:kern w:val="2"/>
                <w:sz w:val="21"/>
                <w:szCs w:val="21"/>
              </w:rPr>
              <w:t>砂质粉土</w:t>
            </w:r>
          </w:p>
        </w:tc>
        <w:tc>
          <w:tcPr>
            <w:tcW w:w="249"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74</w:t>
            </w:r>
          </w:p>
        </w:tc>
        <w:tc>
          <w:tcPr>
            <w:tcW w:w="391"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15.123</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11.513</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42.365</w:t>
            </w:r>
          </w:p>
        </w:tc>
        <w:tc>
          <w:tcPr>
            <w:tcW w:w="333"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0.068</w:t>
            </w:r>
          </w:p>
        </w:tc>
        <w:tc>
          <w:tcPr>
            <w:tcW w:w="333"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0.011</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10.082</w:t>
            </w:r>
          </w:p>
        </w:tc>
        <w:tc>
          <w:tcPr>
            <w:tcW w:w="398"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31.145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6" w:type="pct"/>
            <w:vAlign w:val="center"/>
          </w:tcPr>
          <w:p>
            <w:pPr>
              <w:pStyle w:val="292"/>
              <w:numPr>
                <w:ilvl w:val="0"/>
                <w:numId w:val="10"/>
              </w:numPr>
              <w:ind w:firstLineChars="0"/>
              <w:jc w:val="center"/>
              <w:rPr>
                <w:rFonts w:eastAsia="Times New Roman"/>
                <w:b/>
                <w:bCs/>
                <w:sz w:val="21"/>
                <w:szCs w:val="21"/>
              </w:rPr>
            </w:pPr>
          </w:p>
        </w:tc>
        <w:tc>
          <w:tcPr>
            <w:tcW w:w="580"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 xml:space="preserve">119.557741145 </w:t>
            </w:r>
          </w:p>
        </w:tc>
        <w:tc>
          <w:tcPr>
            <w:tcW w:w="54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 xml:space="preserve">29.099852790 </w:t>
            </w:r>
          </w:p>
        </w:tc>
        <w:tc>
          <w:tcPr>
            <w:tcW w:w="497" w:type="pct"/>
            <w:vAlign w:val="center"/>
          </w:tcPr>
          <w:p>
            <w:pPr>
              <w:jc w:val="center"/>
              <w:rPr>
                <w:rFonts w:eastAsia="Times New Roman"/>
                <w:kern w:val="2"/>
                <w:sz w:val="21"/>
                <w:szCs w:val="21"/>
              </w:rPr>
            </w:pPr>
            <w:r>
              <w:rPr>
                <w:rFonts w:hint="eastAsia" w:eastAsia="Times New Roman"/>
                <w:kern w:val="2"/>
                <w:sz w:val="21"/>
                <w:szCs w:val="21"/>
              </w:rPr>
              <w:t>粉土</w:t>
            </w:r>
          </w:p>
        </w:tc>
        <w:tc>
          <w:tcPr>
            <w:tcW w:w="249"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56</w:t>
            </w:r>
          </w:p>
        </w:tc>
        <w:tc>
          <w:tcPr>
            <w:tcW w:w="391"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16.973</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8.716</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37.657</w:t>
            </w:r>
          </w:p>
        </w:tc>
        <w:tc>
          <w:tcPr>
            <w:tcW w:w="333"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0.058</w:t>
            </w:r>
          </w:p>
        </w:tc>
        <w:tc>
          <w:tcPr>
            <w:tcW w:w="333"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0.006</w:t>
            </w:r>
          </w:p>
        </w:tc>
        <w:tc>
          <w:tcPr>
            <w:tcW w:w="392"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11.079</w:t>
            </w:r>
          </w:p>
        </w:tc>
        <w:tc>
          <w:tcPr>
            <w:tcW w:w="398" w:type="pct"/>
            <w:vAlign w:val="center"/>
          </w:tcPr>
          <w:p>
            <w:pPr>
              <w:widowControl/>
              <w:jc w:val="center"/>
              <w:textAlignment w:val="center"/>
              <w:rPr>
                <w:rFonts w:eastAsia="Times New Roman"/>
                <w:spacing w:val="10"/>
                <w:kern w:val="2"/>
                <w:sz w:val="21"/>
                <w:szCs w:val="21"/>
              </w:rPr>
            </w:pPr>
            <w:r>
              <w:rPr>
                <w:rFonts w:hint="eastAsia" w:eastAsia="Times New Roman"/>
                <w:spacing w:val="10"/>
                <w:kern w:val="2"/>
                <w:sz w:val="21"/>
                <w:szCs w:val="21"/>
              </w:rPr>
              <w:t>26.951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12"/>
            <w:vAlign w:val="center"/>
          </w:tcPr>
          <w:p>
            <w:pPr>
              <w:widowControl/>
              <w:jc w:val="left"/>
              <w:textAlignment w:val="center"/>
              <w:rPr>
                <w:rFonts w:eastAsia="Times New Roman"/>
              </w:rPr>
            </w:pPr>
            <w:r>
              <w:rPr>
                <w:rFonts w:hint="eastAsia" w:eastAsia="Times New Roman"/>
                <w:b/>
                <w:bCs/>
                <w:sz w:val="21"/>
                <w:szCs w:val="21"/>
              </w:rPr>
              <w:t>备注：</w:t>
            </w:r>
            <w:r>
              <w:rPr>
                <w:rFonts w:eastAsia="Times New Roman"/>
                <w:sz w:val="21"/>
                <w:szCs w:val="21"/>
                <w:lang w:bidi="ar"/>
              </w:rPr>
              <w:t>大气PID背景值0.0</w:t>
            </w:r>
            <w:r>
              <w:rPr>
                <w:rFonts w:hint="eastAsia" w:eastAsia="Times New Roman"/>
                <w:sz w:val="21"/>
                <w:szCs w:val="21"/>
                <w:lang w:bidi="ar"/>
              </w:rPr>
              <w:t>06</w:t>
            </w:r>
            <w:r>
              <w:rPr>
                <w:rFonts w:eastAsia="Times New Roman"/>
                <w:sz w:val="21"/>
                <w:szCs w:val="21"/>
                <w:lang w:bidi="ar"/>
              </w:rPr>
              <w:t>ppm，自封袋PID背景值0.0</w:t>
            </w:r>
            <w:r>
              <w:rPr>
                <w:rFonts w:hint="eastAsia" w:eastAsia="Times New Roman"/>
                <w:sz w:val="21"/>
                <w:szCs w:val="21"/>
                <w:lang w:bidi="ar"/>
              </w:rPr>
              <w:t>22</w:t>
            </w:r>
            <w:r>
              <w:rPr>
                <w:rFonts w:eastAsia="Times New Roman"/>
                <w:sz w:val="21"/>
                <w:szCs w:val="21"/>
                <w:lang w:bidi="ar"/>
              </w:rPr>
              <w:t>ppm。</w:t>
            </w:r>
          </w:p>
        </w:tc>
      </w:tr>
    </w:tbl>
    <w:p>
      <w:pPr>
        <w:pStyle w:val="223"/>
        <w:spacing w:line="460" w:lineRule="exact"/>
        <w:ind w:firstLine="0"/>
        <w:jc w:val="center"/>
        <w:rPr>
          <w:b/>
          <w:sz w:val="24"/>
          <w:szCs w:val="24"/>
        </w:rPr>
        <w:sectPr>
          <w:pgSz w:w="16838" w:h="11906" w:orient="landscape"/>
          <w:pgMar w:top="1418" w:right="1418" w:bottom="1418" w:left="1418" w:header="850" w:footer="850" w:gutter="0"/>
          <w:pgNumType w:fmt="numberInDash"/>
          <w:cols w:space="720" w:num="1"/>
          <w:docGrid w:type="lines" w:linePitch="312" w:charSpace="0"/>
        </w:sectPr>
      </w:pPr>
    </w:p>
    <w:p>
      <w:pPr>
        <w:pStyle w:val="223"/>
        <w:spacing w:line="460" w:lineRule="exact"/>
        <w:ind w:firstLine="0"/>
        <w:jc w:val="center"/>
        <w:rPr>
          <w:b/>
          <w:sz w:val="24"/>
          <w:szCs w:val="24"/>
        </w:rPr>
      </w:pPr>
      <w:r>
        <w:rPr>
          <w:b/>
          <w:sz w:val="24"/>
          <w:szCs w:val="24"/>
        </w:rPr>
        <w:t>表5.1-4  现场土壤快筛检测数据统计分析一览表</w:t>
      </w:r>
    </w:p>
    <w:tbl>
      <w:tblPr>
        <w:tblStyle w:val="36"/>
        <w:tblW w:w="5000" w:type="pct"/>
        <w:jc w:val="center"/>
        <w:tblLayout w:type="autofit"/>
        <w:tblCellMar>
          <w:top w:w="0" w:type="dxa"/>
          <w:left w:w="108" w:type="dxa"/>
          <w:bottom w:w="0" w:type="dxa"/>
          <w:right w:w="108" w:type="dxa"/>
        </w:tblCellMar>
      </w:tblPr>
      <w:tblGrid>
        <w:gridCol w:w="1158"/>
        <w:gridCol w:w="1131"/>
        <w:gridCol w:w="1032"/>
        <w:gridCol w:w="955"/>
        <w:gridCol w:w="5010"/>
      </w:tblGrid>
      <w:tr>
        <w:tblPrEx>
          <w:tblCellMar>
            <w:top w:w="0" w:type="dxa"/>
            <w:left w:w="108" w:type="dxa"/>
            <w:bottom w:w="0" w:type="dxa"/>
            <w:right w:w="108" w:type="dxa"/>
          </w:tblCellMar>
        </w:tblPrEx>
        <w:trPr>
          <w:trHeight w:val="284"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b/>
                <w:sz w:val="21"/>
                <w:szCs w:val="21"/>
              </w:rPr>
            </w:pPr>
            <w:r>
              <w:rPr>
                <w:b/>
                <w:sz w:val="21"/>
                <w:szCs w:val="21"/>
                <w:lang w:bidi="ar"/>
              </w:rPr>
              <w:t>监测因子</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b/>
                <w:sz w:val="21"/>
                <w:szCs w:val="21"/>
              </w:rPr>
            </w:pPr>
            <w:r>
              <w:rPr>
                <w:b/>
                <w:sz w:val="21"/>
                <w:szCs w:val="21"/>
                <w:lang w:bidi="ar"/>
              </w:rPr>
              <w:t>MAX</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b/>
                <w:sz w:val="21"/>
                <w:szCs w:val="21"/>
              </w:rPr>
            </w:pPr>
            <w:r>
              <w:rPr>
                <w:b/>
                <w:sz w:val="21"/>
                <w:szCs w:val="21"/>
                <w:lang w:bidi="ar"/>
              </w:rPr>
              <w:t>MIN</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b/>
                <w:sz w:val="21"/>
                <w:szCs w:val="21"/>
              </w:rPr>
            </w:pPr>
            <w:r>
              <w:rPr>
                <w:b/>
                <w:sz w:val="21"/>
                <w:szCs w:val="21"/>
                <w:lang w:bidi="ar"/>
              </w:rPr>
              <w:t>筛选值</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b/>
                <w:sz w:val="21"/>
                <w:szCs w:val="21"/>
              </w:rPr>
            </w:pPr>
            <w:r>
              <w:rPr>
                <w:b/>
                <w:sz w:val="21"/>
                <w:szCs w:val="21"/>
                <w:lang w:bidi="ar"/>
              </w:rPr>
              <w:t>备注</w:t>
            </w:r>
          </w:p>
        </w:tc>
      </w:tr>
      <w:tr>
        <w:tblPrEx>
          <w:tblCellMar>
            <w:top w:w="0" w:type="dxa"/>
            <w:left w:w="108" w:type="dxa"/>
            <w:bottom w:w="0" w:type="dxa"/>
            <w:right w:w="108" w:type="dxa"/>
          </w:tblCellMar>
        </w:tblPrEx>
        <w:trPr>
          <w:trHeight w:val="284"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sz w:val="21"/>
                <w:szCs w:val="21"/>
              </w:rPr>
            </w:pPr>
            <w:r>
              <w:rPr>
                <w:sz w:val="21"/>
                <w:szCs w:val="21"/>
                <w:lang w:bidi="ar"/>
              </w:rPr>
              <w:t>PID</w:t>
            </w:r>
          </w:p>
        </w:tc>
        <w:tc>
          <w:tcPr>
            <w:tcW w:w="10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sz w:val="21"/>
                <w:szCs w:val="21"/>
              </w:rPr>
            </w:pPr>
            <w:r>
              <w:rPr>
                <w:rFonts w:hint="eastAsia"/>
                <w:sz w:val="21"/>
                <w:szCs w:val="21"/>
              </w:rPr>
              <w:t>0.123</w:t>
            </w:r>
          </w:p>
        </w:tc>
        <w:tc>
          <w:tcPr>
            <w:tcW w:w="9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sz w:val="21"/>
                <w:szCs w:val="21"/>
              </w:rPr>
            </w:pPr>
            <w:r>
              <w:rPr>
                <w:rFonts w:hint="eastAsia"/>
                <w:sz w:val="21"/>
                <w:szCs w:val="21"/>
              </w:rPr>
              <w:t>0.051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sz w:val="21"/>
                <w:szCs w:val="21"/>
              </w:rPr>
            </w:pPr>
            <w:r>
              <w:rPr>
                <w:sz w:val="21"/>
                <w:szCs w:val="21"/>
                <w:lang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sz w:val="21"/>
                <w:szCs w:val="21"/>
              </w:rPr>
            </w:pPr>
            <w:r>
              <w:rPr>
                <w:sz w:val="21"/>
                <w:szCs w:val="21"/>
                <w:lang w:bidi="ar"/>
              </w:rPr>
              <w:t>与背景值相比无明显变化，受有机物污染可能性较小</w:t>
            </w:r>
          </w:p>
        </w:tc>
      </w:tr>
      <w:tr>
        <w:tblPrEx>
          <w:tblCellMar>
            <w:top w:w="0" w:type="dxa"/>
            <w:left w:w="108" w:type="dxa"/>
            <w:bottom w:w="0" w:type="dxa"/>
            <w:right w:w="108" w:type="dxa"/>
          </w:tblCellMar>
        </w:tblPrEx>
        <w:trPr>
          <w:trHeight w:val="287"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sz w:val="21"/>
                <w:szCs w:val="21"/>
              </w:rPr>
            </w:pPr>
            <w:r>
              <w:rPr>
                <w:sz w:val="21"/>
                <w:szCs w:val="21"/>
                <w:lang w:bidi="ar"/>
              </w:rPr>
              <w:t>铜</w:t>
            </w:r>
          </w:p>
        </w:tc>
        <w:tc>
          <w:tcPr>
            <w:tcW w:w="10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sz w:val="21"/>
                <w:szCs w:val="21"/>
              </w:rPr>
            </w:pPr>
            <w:r>
              <w:rPr>
                <w:rFonts w:hint="eastAsia"/>
                <w:sz w:val="21"/>
                <w:szCs w:val="21"/>
              </w:rPr>
              <w:t>18.206</w:t>
            </w:r>
          </w:p>
        </w:tc>
        <w:tc>
          <w:tcPr>
            <w:tcW w:w="9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sz w:val="21"/>
                <w:szCs w:val="21"/>
              </w:rPr>
            </w:pPr>
            <w:r>
              <w:rPr>
                <w:rFonts w:hint="eastAsia"/>
                <w:sz w:val="21"/>
                <w:szCs w:val="21"/>
              </w:rPr>
              <w:t>8.099</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sz w:val="21"/>
                <w:szCs w:val="21"/>
              </w:rPr>
            </w:pPr>
            <w:r>
              <w:rPr>
                <w:sz w:val="21"/>
                <w:szCs w:val="21"/>
              </w:rPr>
              <w:t>2000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sz w:val="21"/>
                <w:szCs w:val="21"/>
              </w:rPr>
            </w:pPr>
            <w:r>
              <w:rPr>
                <w:sz w:val="21"/>
                <w:szCs w:val="21"/>
                <w:lang w:bidi="ar"/>
              </w:rPr>
              <w:t>低于筛选值，受污染可能性较小</w:t>
            </w:r>
          </w:p>
        </w:tc>
      </w:tr>
      <w:tr>
        <w:tblPrEx>
          <w:tblCellMar>
            <w:top w:w="0" w:type="dxa"/>
            <w:left w:w="108" w:type="dxa"/>
            <w:bottom w:w="0" w:type="dxa"/>
            <w:right w:w="108" w:type="dxa"/>
          </w:tblCellMar>
        </w:tblPrEx>
        <w:trPr>
          <w:trHeight w:val="284"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sz w:val="21"/>
                <w:szCs w:val="21"/>
              </w:rPr>
            </w:pPr>
            <w:r>
              <w:rPr>
                <w:sz w:val="21"/>
                <w:szCs w:val="21"/>
                <w:lang w:bidi="ar"/>
              </w:rPr>
              <w:t>镍</w:t>
            </w:r>
          </w:p>
        </w:tc>
        <w:tc>
          <w:tcPr>
            <w:tcW w:w="10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sz w:val="21"/>
                <w:szCs w:val="21"/>
              </w:rPr>
            </w:pPr>
            <w:r>
              <w:rPr>
                <w:rFonts w:hint="eastAsia"/>
                <w:sz w:val="21"/>
                <w:szCs w:val="21"/>
              </w:rPr>
              <w:t>22.147</w:t>
            </w:r>
          </w:p>
        </w:tc>
        <w:tc>
          <w:tcPr>
            <w:tcW w:w="9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sz w:val="21"/>
                <w:szCs w:val="21"/>
              </w:rPr>
            </w:pPr>
            <w:r>
              <w:rPr>
                <w:rFonts w:hint="eastAsia"/>
                <w:sz w:val="21"/>
                <w:szCs w:val="21"/>
              </w:rPr>
              <w:t>5.414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sz w:val="21"/>
                <w:szCs w:val="21"/>
              </w:rPr>
            </w:pPr>
            <w:r>
              <w:rPr>
                <w:sz w:val="21"/>
                <w:szCs w:val="21"/>
              </w:rPr>
              <w:t>150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sz w:val="21"/>
                <w:szCs w:val="21"/>
              </w:rPr>
            </w:pPr>
            <w:r>
              <w:rPr>
                <w:sz w:val="21"/>
                <w:szCs w:val="21"/>
                <w:lang w:bidi="ar"/>
              </w:rPr>
              <w:t>低于筛选值，受污染可能性较小</w:t>
            </w:r>
          </w:p>
        </w:tc>
      </w:tr>
      <w:tr>
        <w:tblPrEx>
          <w:tblCellMar>
            <w:top w:w="0" w:type="dxa"/>
            <w:left w:w="108" w:type="dxa"/>
            <w:bottom w:w="0" w:type="dxa"/>
            <w:right w:w="108" w:type="dxa"/>
          </w:tblCellMar>
        </w:tblPrEx>
        <w:trPr>
          <w:trHeight w:val="284"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sz w:val="21"/>
                <w:szCs w:val="21"/>
              </w:rPr>
            </w:pPr>
            <w:r>
              <w:rPr>
                <w:sz w:val="21"/>
                <w:szCs w:val="21"/>
                <w:lang w:bidi="ar"/>
              </w:rPr>
              <w:t>铅</w:t>
            </w:r>
          </w:p>
        </w:tc>
        <w:tc>
          <w:tcPr>
            <w:tcW w:w="10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sz w:val="21"/>
                <w:szCs w:val="21"/>
              </w:rPr>
            </w:pPr>
            <w:r>
              <w:rPr>
                <w:rFonts w:hint="eastAsia"/>
                <w:sz w:val="21"/>
                <w:szCs w:val="21"/>
              </w:rPr>
              <w:t>43.152</w:t>
            </w:r>
          </w:p>
        </w:tc>
        <w:tc>
          <w:tcPr>
            <w:tcW w:w="9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sz w:val="21"/>
                <w:szCs w:val="21"/>
              </w:rPr>
            </w:pPr>
            <w:r>
              <w:rPr>
                <w:rFonts w:hint="eastAsia"/>
                <w:sz w:val="21"/>
                <w:szCs w:val="21"/>
              </w:rPr>
              <w:t>16.743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sz w:val="21"/>
                <w:szCs w:val="21"/>
              </w:rPr>
            </w:pPr>
            <w:r>
              <w:rPr>
                <w:sz w:val="21"/>
                <w:szCs w:val="21"/>
              </w:rPr>
              <w:t>400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sz w:val="21"/>
                <w:szCs w:val="21"/>
              </w:rPr>
            </w:pPr>
            <w:r>
              <w:rPr>
                <w:sz w:val="21"/>
                <w:szCs w:val="21"/>
                <w:lang w:bidi="ar"/>
              </w:rPr>
              <w:t>低于筛选值，受污染可能性较小</w:t>
            </w:r>
          </w:p>
        </w:tc>
      </w:tr>
      <w:tr>
        <w:tblPrEx>
          <w:tblCellMar>
            <w:top w:w="0" w:type="dxa"/>
            <w:left w:w="108" w:type="dxa"/>
            <w:bottom w:w="0" w:type="dxa"/>
            <w:right w:w="108" w:type="dxa"/>
          </w:tblCellMar>
        </w:tblPrEx>
        <w:trPr>
          <w:trHeight w:val="284"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sz w:val="21"/>
                <w:szCs w:val="21"/>
              </w:rPr>
            </w:pPr>
            <w:r>
              <w:rPr>
                <w:sz w:val="21"/>
                <w:szCs w:val="21"/>
                <w:lang w:bidi="ar"/>
              </w:rPr>
              <w:t>镉</w:t>
            </w:r>
          </w:p>
        </w:tc>
        <w:tc>
          <w:tcPr>
            <w:tcW w:w="10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sz w:val="21"/>
                <w:szCs w:val="21"/>
              </w:rPr>
            </w:pPr>
            <w:r>
              <w:rPr>
                <w:rFonts w:hint="eastAsia"/>
                <w:sz w:val="21"/>
                <w:szCs w:val="21"/>
              </w:rPr>
              <w:t>0.155</w:t>
            </w:r>
          </w:p>
        </w:tc>
        <w:tc>
          <w:tcPr>
            <w:tcW w:w="9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sz w:val="21"/>
                <w:szCs w:val="21"/>
              </w:rPr>
            </w:pPr>
            <w:r>
              <w:rPr>
                <w:rFonts w:hint="eastAsia"/>
                <w:sz w:val="21"/>
                <w:szCs w:val="21"/>
              </w:rPr>
              <w:t>0.03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sz w:val="21"/>
                <w:szCs w:val="21"/>
              </w:rPr>
            </w:pPr>
            <w:r>
              <w:rPr>
                <w:sz w:val="21"/>
                <w:szCs w:val="21"/>
              </w:rPr>
              <w:t>20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sz w:val="21"/>
                <w:szCs w:val="21"/>
              </w:rPr>
            </w:pPr>
            <w:r>
              <w:rPr>
                <w:sz w:val="21"/>
                <w:szCs w:val="21"/>
                <w:lang w:bidi="ar"/>
              </w:rPr>
              <w:t>低于筛选值，受污染可能性较小</w:t>
            </w:r>
          </w:p>
        </w:tc>
      </w:tr>
      <w:tr>
        <w:tblPrEx>
          <w:tblCellMar>
            <w:top w:w="0" w:type="dxa"/>
            <w:left w:w="108" w:type="dxa"/>
            <w:bottom w:w="0" w:type="dxa"/>
            <w:right w:w="108" w:type="dxa"/>
          </w:tblCellMar>
        </w:tblPrEx>
        <w:trPr>
          <w:trHeight w:val="284"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sz w:val="21"/>
                <w:szCs w:val="21"/>
              </w:rPr>
            </w:pPr>
            <w:r>
              <w:rPr>
                <w:sz w:val="21"/>
                <w:szCs w:val="21"/>
                <w:lang w:bidi="ar"/>
              </w:rPr>
              <w:t>汞</w:t>
            </w:r>
          </w:p>
        </w:tc>
        <w:tc>
          <w:tcPr>
            <w:tcW w:w="10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sz w:val="21"/>
                <w:szCs w:val="21"/>
              </w:rPr>
            </w:pPr>
            <w:r>
              <w:rPr>
                <w:rFonts w:hint="eastAsia"/>
                <w:sz w:val="21"/>
                <w:szCs w:val="21"/>
              </w:rPr>
              <w:t>0.036</w:t>
            </w:r>
          </w:p>
        </w:tc>
        <w:tc>
          <w:tcPr>
            <w:tcW w:w="9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sz w:val="21"/>
                <w:szCs w:val="21"/>
              </w:rPr>
            </w:pPr>
            <w:r>
              <w:rPr>
                <w:rFonts w:hint="eastAsia"/>
                <w:sz w:val="21"/>
                <w:szCs w:val="21"/>
              </w:rPr>
              <w:t>0.005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sz w:val="21"/>
                <w:szCs w:val="21"/>
              </w:rPr>
            </w:pPr>
            <w:r>
              <w:rPr>
                <w:sz w:val="21"/>
                <w:szCs w:val="21"/>
              </w:rPr>
              <w:t>8</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sz w:val="21"/>
                <w:szCs w:val="21"/>
              </w:rPr>
            </w:pPr>
            <w:r>
              <w:rPr>
                <w:sz w:val="21"/>
                <w:szCs w:val="21"/>
                <w:lang w:bidi="ar"/>
              </w:rPr>
              <w:t>低于筛选值，受污染可能性较小</w:t>
            </w:r>
          </w:p>
        </w:tc>
      </w:tr>
      <w:tr>
        <w:tblPrEx>
          <w:tblCellMar>
            <w:top w:w="0" w:type="dxa"/>
            <w:left w:w="108" w:type="dxa"/>
            <w:bottom w:w="0" w:type="dxa"/>
            <w:right w:w="108" w:type="dxa"/>
          </w:tblCellMar>
        </w:tblPrEx>
        <w:trPr>
          <w:trHeight w:val="284"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sz w:val="21"/>
                <w:szCs w:val="21"/>
                <w:lang w:bidi="ar"/>
              </w:rPr>
            </w:pPr>
            <w:r>
              <w:rPr>
                <w:sz w:val="21"/>
                <w:szCs w:val="21"/>
                <w:lang w:bidi="ar"/>
              </w:rPr>
              <w:t>砷</w:t>
            </w:r>
          </w:p>
        </w:tc>
        <w:tc>
          <w:tcPr>
            <w:tcW w:w="10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sz w:val="21"/>
                <w:szCs w:val="21"/>
              </w:rPr>
            </w:pPr>
            <w:r>
              <w:rPr>
                <w:rFonts w:hint="eastAsia"/>
                <w:sz w:val="21"/>
                <w:szCs w:val="21"/>
              </w:rPr>
              <w:t>11.635</w:t>
            </w:r>
          </w:p>
        </w:tc>
        <w:tc>
          <w:tcPr>
            <w:tcW w:w="9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sz w:val="21"/>
                <w:szCs w:val="21"/>
              </w:rPr>
            </w:pPr>
            <w:r>
              <w:rPr>
                <w:rFonts w:hint="eastAsia"/>
                <w:sz w:val="21"/>
                <w:szCs w:val="21"/>
              </w:rPr>
              <w:t>4.446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sz w:val="21"/>
                <w:szCs w:val="21"/>
                <w:lang w:bidi="ar"/>
              </w:rPr>
            </w:pPr>
            <w:r>
              <w:rPr>
                <w:sz w:val="21"/>
                <w:szCs w:val="21"/>
                <w:lang w:bidi="ar"/>
              </w:rPr>
              <w:t>20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sz w:val="21"/>
                <w:szCs w:val="21"/>
                <w:lang w:bidi="ar"/>
              </w:rPr>
            </w:pPr>
            <w:r>
              <w:rPr>
                <w:sz w:val="21"/>
                <w:szCs w:val="21"/>
                <w:lang w:bidi="ar"/>
              </w:rPr>
              <w:t>低于筛选值，受污染可能性较小</w:t>
            </w:r>
          </w:p>
        </w:tc>
      </w:tr>
      <w:tr>
        <w:tblPrEx>
          <w:tblCellMar>
            <w:top w:w="0" w:type="dxa"/>
            <w:left w:w="108" w:type="dxa"/>
            <w:bottom w:w="0" w:type="dxa"/>
            <w:right w:w="108" w:type="dxa"/>
          </w:tblCellMar>
        </w:tblPrEx>
        <w:trPr>
          <w:trHeight w:val="284"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sz w:val="21"/>
                <w:szCs w:val="21"/>
              </w:rPr>
            </w:pPr>
            <w:r>
              <w:rPr>
                <w:sz w:val="21"/>
                <w:szCs w:val="21"/>
                <w:lang w:bidi="ar"/>
              </w:rPr>
              <w:t>铬</w:t>
            </w:r>
          </w:p>
        </w:tc>
        <w:tc>
          <w:tcPr>
            <w:tcW w:w="103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sz w:val="21"/>
                <w:szCs w:val="21"/>
              </w:rPr>
            </w:pPr>
            <w:r>
              <w:rPr>
                <w:rFonts w:hint="eastAsia"/>
                <w:sz w:val="21"/>
                <w:szCs w:val="21"/>
              </w:rPr>
              <w:t>71.637</w:t>
            </w:r>
          </w:p>
        </w:tc>
        <w:tc>
          <w:tcPr>
            <w:tcW w:w="92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sz w:val="21"/>
                <w:szCs w:val="21"/>
              </w:rPr>
            </w:pPr>
            <w:r>
              <w:rPr>
                <w:rFonts w:hint="eastAsia"/>
                <w:sz w:val="21"/>
                <w:szCs w:val="21"/>
              </w:rPr>
              <w:t>14.943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sz w:val="21"/>
                <w:szCs w:val="21"/>
              </w:rPr>
            </w:pPr>
            <w:r>
              <w:rPr>
                <w:sz w:val="21"/>
                <w:szCs w:val="21"/>
              </w:rPr>
              <w:t>5000</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sz w:val="21"/>
                <w:szCs w:val="21"/>
              </w:rPr>
            </w:pPr>
            <w:r>
              <w:rPr>
                <w:sz w:val="21"/>
                <w:szCs w:val="21"/>
                <w:lang w:bidi="ar"/>
              </w:rPr>
              <w:t>低于筛选值，受污染可能性较小</w:t>
            </w:r>
          </w:p>
        </w:tc>
      </w:tr>
      <w:tr>
        <w:tblPrEx>
          <w:tblCellMar>
            <w:top w:w="0" w:type="dxa"/>
            <w:left w:w="108" w:type="dxa"/>
            <w:bottom w:w="0" w:type="dxa"/>
            <w:right w:w="108" w:type="dxa"/>
          </w:tblCellMar>
        </w:tblPrEx>
        <w:trPr>
          <w:trHeight w:val="284" w:hRule="atLeast"/>
          <w:jc w:val="center"/>
        </w:trPr>
        <w:tc>
          <w:tcPr>
            <w:tcW w:w="0" w:type="auto"/>
            <w:gridSpan w:val="5"/>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b/>
                <w:sz w:val="21"/>
                <w:szCs w:val="21"/>
                <w:lang w:bidi="ar"/>
              </w:rPr>
            </w:pPr>
            <w:r>
              <w:rPr>
                <w:b/>
                <w:sz w:val="21"/>
                <w:szCs w:val="21"/>
                <w:lang w:bidi="ar"/>
              </w:rPr>
              <w:t>备注：</w:t>
            </w:r>
            <w:r>
              <w:rPr>
                <w:sz w:val="21"/>
                <w:szCs w:val="21"/>
                <w:lang w:bidi="ar"/>
              </w:rPr>
              <w:t>1.PID选用大气PID背景值0.0</w:t>
            </w:r>
            <w:r>
              <w:rPr>
                <w:rFonts w:hint="eastAsia"/>
                <w:sz w:val="21"/>
                <w:szCs w:val="21"/>
                <w:lang w:bidi="ar"/>
              </w:rPr>
              <w:t>06</w:t>
            </w:r>
            <w:r>
              <w:rPr>
                <w:sz w:val="21"/>
                <w:szCs w:val="21"/>
                <w:lang w:bidi="ar"/>
              </w:rPr>
              <w:t>ppm，自封袋PID背景值0.0</w:t>
            </w:r>
            <w:r>
              <w:rPr>
                <w:rFonts w:hint="eastAsia"/>
                <w:sz w:val="21"/>
                <w:szCs w:val="21"/>
                <w:lang w:bidi="ar"/>
              </w:rPr>
              <w:t>22</w:t>
            </w:r>
            <w:r>
              <w:rPr>
                <w:sz w:val="21"/>
                <w:szCs w:val="21"/>
                <w:lang w:bidi="ar"/>
              </w:rPr>
              <w:t>ppm进行对照。</w:t>
            </w:r>
          </w:p>
          <w:p>
            <w:pPr>
              <w:widowControl/>
              <w:ind w:firstLine="630" w:firstLineChars="300"/>
              <w:textAlignment w:val="center"/>
              <w:rPr>
                <w:sz w:val="21"/>
                <w:szCs w:val="21"/>
                <w:lang w:bidi="ar"/>
              </w:rPr>
            </w:pPr>
            <w:r>
              <w:rPr>
                <w:sz w:val="21"/>
                <w:szCs w:val="21"/>
                <w:lang w:bidi="ar"/>
              </w:rPr>
              <w:t>2.铜、镍、铅、镉、汞、砷</w:t>
            </w:r>
            <w:r>
              <w:rPr>
                <w:sz w:val="21"/>
                <w:szCs w:val="21"/>
              </w:rPr>
              <w:t>选用《土壤环境质量建设用地土壤污染风险管控标准(试行)》(GB36600-2018)第一类用地筛选值作为评价依据；铬执行浙江省《建设用地土壤污染风险评估技术导则》(DB33 T 892-2022)附录A中敏感用地筛选值</w:t>
            </w:r>
            <w:r>
              <w:rPr>
                <w:sz w:val="21"/>
                <w:szCs w:val="21"/>
                <w:lang w:bidi="ar"/>
              </w:rPr>
              <w:t>。</w:t>
            </w:r>
          </w:p>
        </w:tc>
      </w:tr>
    </w:tbl>
    <w:p>
      <w:pPr>
        <w:spacing w:line="440" w:lineRule="exact"/>
        <w:ind w:firstLine="480" w:firstLineChars="200"/>
        <w:rPr>
          <w:sz w:val="24"/>
          <w:szCs w:val="24"/>
        </w:rPr>
      </w:pPr>
      <w:r>
        <w:rPr>
          <w:sz w:val="24"/>
          <w:szCs w:val="24"/>
        </w:rPr>
        <w:t>根据现场土壤快筛检测数据统计分析，XRF各重金属的检出值均低于筛选值，PID检出值与背景值相比变化不明显，由此判断该地块受重金属污染以及挥发性有机物污染的可能性较低。结合现场踏勘及人员访谈收集到的其他信息，综合分析后认为，此地块不存在污染源及明显的受污染情况。</w:t>
      </w:r>
    </w:p>
    <w:p>
      <w:pPr>
        <w:pStyle w:val="116"/>
        <w:rPr>
          <w:rFonts w:ascii="Times New Roman" w:hAnsi="Times New Roman" w:eastAsia="宋体"/>
          <w:szCs w:val="28"/>
        </w:rPr>
      </w:pPr>
      <w:bookmarkStart w:id="60" w:name="_Toc149641993"/>
      <w:r>
        <w:rPr>
          <w:rFonts w:ascii="Times New Roman" w:hAnsi="Times New Roman" w:eastAsia="宋体"/>
          <w:szCs w:val="28"/>
        </w:rPr>
        <w:t>5.2 人员访谈</w:t>
      </w:r>
      <w:bookmarkEnd w:id="60"/>
    </w:p>
    <w:p>
      <w:pPr>
        <w:spacing w:line="440" w:lineRule="exact"/>
        <w:ind w:firstLine="480" w:firstLineChars="200"/>
        <w:rPr>
          <w:sz w:val="24"/>
          <w:szCs w:val="24"/>
        </w:rPr>
      </w:pPr>
      <w:r>
        <w:rPr>
          <w:sz w:val="24"/>
          <w:szCs w:val="24"/>
        </w:rPr>
        <w:t>本次调查人员访谈主要以面谈、电话访谈的形式，对地块管理机构工作人员，生态环境行政主管部门工作人员，熟悉地块的第三方进行调查，考证已有资料信息，补充获取地块相关信息资料。</w:t>
      </w:r>
    </w:p>
    <w:p>
      <w:pPr>
        <w:spacing w:line="440" w:lineRule="exact"/>
        <w:ind w:firstLine="480" w:firstLineChars="200"/>
        <w:rPr>
          <w:sz w:val="24"/>
          <w:szCs w:val="24"/>
        </w:rPr>
      </w:pPr>
      <w:r>
        <w:rPr>
          <w:sz w:val="24"/>
          <w:szCs w:val="24"/>
        </w:rPr>
        <w:t>本次访谈对象情况详见表5.2-1，人员访谈表见附件1，人员访谈工作照片见图5.2-1。</w:t>
      </w:r>
    </w:p>
    <w:p>
      <w:pPr>
        <w:pStyle w:val="223"/>
        <w:spacing w:line="460" w:lineRule="exact"/>
        <w:ind w:firstLine="0"/>
        <w:jc w:val="center"/>
        <w:rPr>
          <w:b/>
          <w:sz w:val="24"/>
          <w:szCs w:val="24"/>
        </w:rPr>
      </w:pPr>
      <w:r>
        <w:rPr>
          <w:b/>
          <w:sz w:val="24"/>
          <w:szCs w:val="24"/>
        </w:rPr>
        <w:t>表5.2-1  人员访谈情况一览表</w:t>
      </w:r>
    </w:p>
    <w:tbl>
      <w:tblPr>
        <w:tblStyle w:val="36"/>
        <w:tblW w:w="5000" w:type="pct"/>
        <w:jc w:val="center"/>
        <w:tblLayout w:type="autofit"/>
        <w:tblCellMar>
          <w:top w:w="0" w:type="dxa"/>
          <w:left w:w="108" w:type="dxa"/>
          <w:bottom w:w="0" w:type="dxa"/>
          <w:right w:w="108" w:type="dxa"/>
        </w:tblCellMar>
      </w:tblPr>
      <w:tblGrid>
        <w:gridCol w:w="778"/>
        <w:gridCol w:w="1809"/>
        <w:gridCol w:w="4110"/>
        <w:gridCol w:w="1294"/>
        <w:gridCol w:w="1295"/>
      </w:tblGrid>
      <w:tr>
        <w:tblPrEx>
          <w:tblCellMar>
            <w:top w:w="0" w:type="dxa"/>
            <w:left w:w="108" w:type="dxa"/>
            <w:bottom w:w="0" w:type="dxa"/>
            <w:right w:w="108" w:type="dxa"/>
          </w:tblCellMar>
        </w:tblPrEx>
        <w:trPr>
          <w:trHeight w:val="340" w:hRule="atLeast"/>
          <w:jc w:val="center"/>
        </w:trPr>
        <w:tc>
          <w:tcPr>
            <w:tcW w:w="419"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b/>
                <w:sz w:val="21"/>
                <w:szCs w:val="21"/>
              </w:rPr>
            </w:pPr>
            <w:r>
              <w:rPr>
                <w:b/>
                <w:sz w:val="21"/>
                <w:szCs w:val="21"/>
                <w:lang w:bidi="ar"/>
              </w:rPr>
              <w:t>序号</w:t>
            </w:r>
          </w:p>
        </w:tc>
        <w:tc>
          <w:tcPr>
            <w:tcW w:w="974"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b/>
                <w:sz w:val="21"/>
                <w:szCs w:val="21"/>
              </w:rPr>
            </w:pPr>
            <w:r>
              <w:rPr>
                <w:b/>
                <w:sz w:val="21"/>
                <w:szCs w:val="21"/>
              </w:rPr>
              <w:t>访谈</w:t>
            </w:r>
            <w:r>
              <w:rPr>
                <w:rFonts w:hint="eastAsia"/>
                <w:b/>
                <w:sz w:val="21"/>
                <w:szCs w:val="21"/>
              </w:rPr>
              <w:t>人员姓名</w:t>
            </w:r>
          </w:p>
        </w:tc>
        <w:tc>
          <w:tcPr>
            <w:tcW w:w="221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b/>
                <w:sz w:val="21"/>
                <w:szCs w:val="21"/>
              </w:rPr>
            </w:pPr>
            <w:r>
              <w:rPr>
                <w:rFonts w:hint="eastAsia"/>
                <w:b/>
                <w:sz w:val="21"/>
                <w:szCs w:val="21"/>
              </w:rPr>
              <w:t>访谈人员单位</w:t>
            </w:r>
          </w:p>
        </w:tc>
        <w:tc>
          <w:tcPr>
            <w:tcW w:w="697"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b/>
                <w:sz w:val="21"/>
                <w:szCs w:val="21"/>
              </w:rPr>
            </w:pPr>
            <w:r>
              <w:rPr>
                <w:b/>
                <w:sz w:val="21"/>
                <w:szCs w:val="21"/>
              </w:rPr>
              <w:t>访谈方式</w:t>
            </w:r>
          </w:p>
        </w:tc>
        <w:tc>
          <w:tcPr>
            <w:tcW w:w="697"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b/>
                <w:sz w:val="21"/>
                <w:szCs w:val="21"/>
              </w:rPr>
            </w:pPr>
            <w:r>
              <w:rPr>
                <w:b/>
                <w:sz w:val="21"/>
                <w:szCs w:val="21"/>
              </w:rPr>
              <w:t>访谈时间</w:t>
            </w:r>
          </w:p>
        </w:tc>
      </w:tr>
      <w:tr>
        <w:tblPrEx>
          <w:tblCellMar>
            <w:top w:w="0" w:type="dxa"/>
            <w:left w:w="108" w:type="dxa"/>
            <w:bottom w:w="0" w:type="dxa"/>
            <w:right w:w="108" w:type="dxa"/>
          </w:tblCellMar>
        </w:tblPrEx>
        <w:trPr>
          <w:trHeight w:val="340" w:hRule="atLeast"/>
          <w:jc w:val="center"/>
        </w:trPr>
        <w:tc>
          <w:tcPr>
            <w:tcW w:w="419"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sz w:val="21"/>
                <w:szCs w:val="21"/>
              </w:rPr>
            </w:pPr>
            <w:r>
              <w:rPr>
                <w:sz w:val="21"/>
                <w:szCs w:val="21"/>
              </w:rPr>
              <w:t>1</w:t>
            </w:r>
          </w:p>
        </w:tc>
        <w:tc>
          <w:tcPr>
            <w:tcW w:w="974"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sz w:val="21"/>
                <w:szCs w:val="21"/>
              </w:rPr>
            </w:pPr>
            <w:r>
              <w:rPr>
                <w:rFonts w:hint="eastAsia"/>
                <w:sz w:val="21"/>
                <w:szCs w:val="21"/>
              </w:rPr>
              <w:t>羊再帅</w:t>
            </w:r>
          </w:p>
        </w:tc>
        <w:tc>
          <w:tcPr>
            <w:tcW w:w="221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sz w:val="21"/>
                <w:szCs w:val="21"/>
              </w:rPr>
            </w:pPr>
            <w:r>
              <w:rPr>
                <w:rFonts w:hint="eastAsia"/>
                <w:sz w:val="21"/>
                <w:szCs w:val="21"/>
              </w:rPr>
              <w:t>金华市金婺资源开发集团有限公司</w:t>
            </w:r>
          </w:p>
        </w:tc>
        <w:tc>
          <w:tcPr>
            <w:tcW w:w="697"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sz w:val="21"/>
                <w:szCs w:val="21"/>
              </w:rPr>
            </w:pPr>
            <w:r>
              <w:rPr>
                <w:sz w:val="21"/>
                <w:szCs w:val="21"/>
              </w:rPr>
              <w:t>面谈</w:t>
            </w:r>
          </w:p>
        </w:tc>
        <w:tc>
          <w:tcPr>
            <w:tcW w:w="697"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sz w:val="21"/>
                <w:szCs w:val="21"/>
              </w:rPr>
            </w:pPr>
            <w:r>
              <w:rPr>
                <w:sz w:val="21"/>
                <w:szCs w:val="21"/>
              </w:rPr>
              <w:t>2023.9.26</w:t>
            </w:r>
          </w:p>
        </w:tc>
      </w:tr>
      <w:tr>
        <w:tblPrEx>
          <w:tblCellMar>
            <w:top w:w="0" w:type="dxa"/>
            <w:left w:w="108" w:type="dxa"/>
            <w:bottom w:w="0" w:type="dxa"/>
            <w:right w:w="108" w:type="dxa"/>
          </w:tblCellMar>
        </w:tblPrEx>
        <w:trPr>
          <w:trHeight w:val="340" w:hRule="atLeast"/>
          <w:jc w:val="center"/>
        </w:trPr>
        <w:tc>
          <w:tcPr>
            <w:tcW w:w="419"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sz w:val="21"/>
                <w:szCs w:val="21"/>
              </w:rPr>
            </w:pPr>
            <w:r>
              <w:rPr>
                <w:sz w:val="21"/>
                <w:szCs w:val="21"/>
              </w:rPr>
              <w:t>2</w:t>
            </w:r>
          </w:p>
        </w:tc>
        <w:tc>
          <w:tcPr>
            <w:tcW w:w="974"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sz w:val="21"/>
                <w:szCs w:val="21"/>
              </w:rPr>
            </w:pPr>
            <w:r>
              <w:rPr>
                <w:rFonts w:hint="eastAsia"/>
                <w:sz w:val="21"/>
                <w:szCs w:val="21"/>
              </w:rPr>
              <w:t>王霞</w:t>
            </w:r>
          </w:p>
        </w:tc>
        <w:tc>
          <w:tcPr>
            <w:tcW w:w="221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sz w:val="21"/>
                <w:szCs w:val="21"/>
              </w:rPr>
            </w:pPr>
            <w:r>
              <w:rPr>
                <w:rFonts w:hint="eastAsia"/>
                <w:sz w:val="21"/>
                <w:szCs w:val="21"/>
              </w:rPr>
              <w:t>婺城经济开发区</w:t>
            </w:r>
          </w:p>
        </w:tc>
        <w:tc>
          <w:tcPr>
            <w:tcW w:w="697"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sz w:val="21"/>
                <w:szCs w:val="21"/>
              </w:rPr>
            </w:pPr>
            <w:r>
              <w:rPr>
                <w:sz w:val="21"/>
                <w:szCs w:val="21"/>
              </w:rPr>
              <w:t>面谈</w:t>
            </w:r>
          </w:p>
        </w:tc>
        <w:tc>
          <w:tcPr>
            <w:tcW w:w="697"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sz w:val="21"/>
                <w:szCs w:val="21"/>
              </w:rPr>
            </w:pPr>
            <w:r>
              <w:rPr>
                <w:sz w:val="21"/>
                <w:szCs w:val="21"/>
              </w:rPr>
              <w:t>2023.9.26</w:t>
            </w:r>
          </w:p>
        </w:tc>
      </w:tr>
      <w:tr>
        <w:tblPrEx>
          <w:tblCellMar>
            <w:top w:w="0" w:type="dxa"/>
            <w:left w:w="108" w:type="dxa"/>
            <w:bottom w:w="0" w:type="dxa"/>
            <w:right w:w="108" w:type="dxa"/>
          </w:tblCellMar>
        </w:tblPrEx>
        <w:trPr>
          <w:trHeight w:val="340" w:hRule="atLeast"/>
          <w:jc w:val="center"/>
        </w:trPr>
        <w:tc>
          <w:tcPr>
            <w:tcW w:w="419"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sz w:val="21"/>
                <w:szCs w:val="21"/>
              </w:rPr>
            </w:pPr>
            <w:r>
              <w:rPr>
                <w:sz w:val="21"/>
                <w:szCs w:val="21"/>
              </w:rPr>
              <w:t>3</w:t>
            </w:r>
          </w:p>
        </w:tc>
        <w:tc>
          <w:tcPr>
            <w:tcW w:w="974"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sz w:val="21"/>
                <w:szCs w:val="21"/>
              </w:rPr>
            </w:pPr>
            <w:r>
              <w:rPr>
                <w:rFonts w:hint="eastAsia"/>
                <w:sz w:val="21"/>
                <w:szCs w:val="21"/>
              </w:rPr>
              <w:t>潘所</w:t>
            </w:r>
          </w:p>
        </w:tc>
        <w:tc>
          <w:tcPr>
            <w:tcW w:w="221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sz w:val="21"/>
                <w:szCs w:val="21"/>
              </w:rPr>
            </w:pPr>
            <w:r>
              <w:rPr>
                <w:rFonts w:hint="eastAsia"/>
                <w:sz w:val="21"/>
                <w:szCs w:val="21"/>
              </w:rPr>
              <w:t>白龙桥镇资规所</w:t>
            </w:r>
          </w:p>
        </w:tc>
        <w:tc>
          <w:tcPr>
            <w:tcW w:w="697"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sz w:val="21"/>
                <w:szCs w:val="21"/>
              </w:rPr>
            </w:pPr>
            <w:r>
              <w:rPr>
                <w:sz w:val="21"/>
                <w:szCs w:val="21"/>
              </w:rPr>
              <w:t>面谈</w:t>
            </w:r>
          </w:p>
        </w:tc>
        <w:tc>
          <w:tcPr>
            <w:tcW w:w="697"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sz w:val="21"/>
                <w:szCs w:val="21"/>
              </w:rPr>
            </w:pPr>
            <w:r>
              <w:rPr>
                <w:sz w:val="21"/>
                <w:szCs w:val="21"/>
              </w:rPr>
              <w:t>2023.9.26</w:t>
            </w:r>
          </w:p>
        </w:tc>
      </w:tr>
      <w:tr>
        <w:tblPrEx>
          <w:tblCellMar>
            <w:top w:w="0" w:type="dxa"/>
            <w:left w:w="108" w:type="dxa"/>
            <w:bottom w:w="0" w:type="dxa"/>
            <w:right w:w="108" w:type="dxa"/>
          </w:tblCellMar>
        </w:tblPrEx>
        <w:trPr>
          <w:trHeight w:val="340" w:hRule="atLeast"/>
          <w:jc w:val="center"/>
        </w:trPr>
        <w:tc>
          <w:tcPr>
            <w:tcW w:w="419"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sz w:val="21"/>
                <w:szCs w:val="21"/>
              </w:rPr>
            </w:pPr>
            <w:r>
              <w:rPr>
                <w:sz w:val="21"/>
                <w:szCs w:val="21"/>
              </w:rPr>
              <w:t>4</w:t>
            </w:r>
          </w:p>
        </w:tc>
        <w:tc>
          <w:tcPr>
            <w:tcW w:w="974"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sz w:val="21"/>
                <w:szCs w:val="21"/>
              </w:rPr>
            </w:pPr>
            <w:r>
              <w:rPr>
                <w:rFonts w:hint="eastAsia"/>
                <w:sz w:val="21"/>
                <w:szCs w:val="21"/>
              </w:rPr>
              <w:t>周吉鸿</w:t>
            </w:r>
          </w:p>
        </w:tc>
        <w:tc>
          <w:tcPr>
            <w:tcW w:w="221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sz w:val="21"/>
                <w:szCs w:val="21"/>
              </w:rPr>
            </w:pPr>
            <w:r>
              <w:rPr>
                <w:rFonts w:hint="eastAsia"/>
                <w:sz w:val="21"/>
                <w:szCs w:val="21"/>
              </w:rPr>
              <w:t>白龙桥镇环保专员</w:t>
            </w:r>
          </w:p>
        </w:tc>
        <w:tc>
          <w:tcPr>
            <w:tcW w:w="697"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sz w:val="21"/>
                <w:szCs w:val="21"/>
              </w:rPr>
            </w:pPr>
            <w:r>
              <w:rPr>
                <w:sz w:val="21"/>
                <w:szCs w:val="21"/>
              </w:rPr>
              <w:t>电话访谈</w:t>
            </w:r>
          </w:p>
        </w:tc>
        <w:tc>
          <w:tcPr>
            <w:tcW w:w="697"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sz w:val="21"/>
                <w:szCs w:val="21"/>
              </w:rPr>
            </w:pPr>
            <w:r>
              <w:rPr>
                <w:sz w:val="21"/>
                <w:szCs w:val="21"/>
              </w:rPr>
              <w:t>2023.9.27</w:t>
            </w:r>
          </w:p>
        </w:tc>
      </w:tr>
      <w:tr>
        <w:tblPrEx>
          <w:tblCellMar>
            <w:top w:w="0" w:type="dxa"/>
            <w:left w:w="108" w:type="dxa"/>
            <w:bottom w:w="0" w:type="dxa"/>
            <w:right w:w="108" w:type="dxa"/>
          </w:tblCellMar>
        </w:tblPrEx>
        <w:trPr>
          <w:trHeight w:val="340" w:hRule="atLeast"/>
          <w:jc w:val="center"/>
        </w:trPr>
        <w:tc>
          <w:tcPr>
            <w:tcW w:w="419"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sz w:val="21"/>
                <w:szCs w:val="21"/>
              </w:rPr>
            </w:pPr>
            <w:r>
              <w:rPr>
                <w:sz w:val="21"/>
                <w:szCs w:val="21"/>
              </w:rPr>
              <w:t>5</w:t>
            </w:r>
          </w:p>
        </w:tc>
        <w:tc>
          <w:tcPr>
            <w:tcW w:w="974"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sz w:val="21"/>
                <w:szCs w:val="21"/>
              </w:rPr>
            </w:pPr>
            <w:r>
              <w:rPr>
                <w:rFonts w:hint="eastAsia"/>
                <w:sz w:val="21"/>
                <w:szCs w:val="21"/>
              </w:rPr>
              <w:t>滕卫法</w:t>
            </w:r>
          </w:p>
        </w:tc>
        <w:tc>
          <w:tcPr>
            <w:tcW w:w="221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sz w:val="21"/>
                <w:szCs w:val="21"/>
              </w:rPr>
            </w:pPr>
            <w:r>
              <w:rPr>
                <w:rFonts w:hint="eastAsia"/>
                <w:sz w:val="21"/>
                <w:szCs w:val="21"/>
              </w:rPr>
              <w:t>白龙桥镇东俞村村委</w:t>
            </w:r>
          </w:p>
        </w:tc>
        <w:tc>
          <w:tcPr>
            <w:tcW w:w="697"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sz w:val="21"/>
                <w:szCs w:val="21"/>
              </w:rPr>
            </w:pPr>
            <w:r>
              <w:rPr>
                <w:sz w:val="21"/>
                <w:szCs w:val="21"/>
              </w:rPr>
              <w:t>面谈</w:t>
            </w:r>
          </w:p>
        </w:tc>
        <w:tc>
          <w:tcPr>
            <w:tcW w:w="697"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sz w:val="21"/>
                <w:szCs w:val="21"/>
              </w:rPr>
            </w:pPr>
            <w:r>
              <w:rPr>
                <w:sz w:val="21"/>
                <w:szCs w:val="21"/>
              </w:rPr>
              <w:t>2023.9.26</w:t>
            </w:r>
          </w:p>
        </w:tc>
      </w:tr>
      <w:tr>
        <w:tblPrEx>
          <w:tblCellMar>
            <w:top w:w="0" w:type="dxa"/>
            <w:left w:w="108" w:type="dxa"/>
            <w:bottom w:w="0" w:type="dxa"/>
            <w:right w:w="108" w:type="dxa"/>
          </w:tblCellMar>
        </w:tblPrEx>
        <w:trPr>
          <w:trHeight w:val="340" w:hRule="atLeast"/>
          <w:jc w:val="center"/>
        </w:trPr>
        <w:tc>
          <w:tcPr>
            <w:tcW w:w="419"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sz w:val="21"/>
                <w:szCs w:val="21"/>
              </w:rPr>
            </w:pPr>
            <w:r>
              <w:rPr>
                <w:sz w:val="21"/>
                <w:szCs w:val="21"/>
              </w:rPr>
              <w:t>6</w:t>
            </w:r>
          </w:p>
        </w:tc>
        <w:tc>
          <w:tcPr>
            <w:tcW w:w="974"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sz w:val="21"/>
                <w:szCs w:val="21"/>
              </w:rPr>
            </w:pPr>
            <w:r>
              <w:rPr>
                <w:rFonts w:hint="eastAsia"/>
                <w:sz w:val="21"/>
                <w:szCs w:val="21"/>
              </w:rPr>
              <w:t>俞先生</w:t>
            </w:r>
          </w:p>
        </w:tc>
        <w:tc>
          <w:tcPr>
            <w:tcW w:w="221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sz w:val="21"/>
                <w:szCs w:val="21"/>
              </w:rPr>
            </w:pPr>
            <w:r>
              <w:rPr>
                <w:rFonts w:hint="eastAsia"/>
                <w:sz w:val="21"/>
                <w:szCs w:val="21"/>
              </w:rPr>
              <w:t>白龙桥镇东俞村村委</w:t>
            </w:r>
          </w:p>
        </w:tc>
        <w:tc>
          <w:tcPr>
            <w:tcW w:w="697"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sz w:val="21"/>
                <w:szCs w:val="21"/>
              </w:rPr>
            </w:pPr>
            <w:r>
              <w:rPr>
                <w:sz w:val="21"/>
                <w:szCs w:val="21"/>
              </w:rPr>
              <w:t>面谈</w:t>
            </w:r>
          </w:p>
        </w:tc>
        <w:tc>
          <w:tcPr>
            <w:tcW w:w="697"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sz w:val="21"/>
                <w:szCs w:val="21"/>
              </w:rPr>
            </w:pPr>
            <w:r>
              <w:rPr>
                <w:sz w:val="21"/>
                <w:szCs w:val="21"/>
              </w:rPr>
              <w:t>2023.9.26</w:t>
            </w:r>
          </w:p>
        </w:tc>
      </w:tr>
      <w:tr>
        <w:tblPrEx>
          <w:tblCellMar>
            <w:top w:w="0" w:type="dxa"/>
            <w:left w:w="108" w:type="dxa"/>
            <w:bottom w:w="0" w:type="dxa"/>
            <w:right w:w="108" w:type="dxa"/>
          </w:tblCellMar>
        </w:tblPrEx>
        <w:trPr>
          <w:trHeight w:val="340" w:hRule="atLeast"/>
          <w:jc w:val="center"/>
        </w:trPr>
        <w:tc>
          <w:tcPr>
            <w:tcW w:w="419"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 w:val="21"/>
                <w:szCs w:val="21"/>
                <w:lang w:bidi="ar"/>
              </w:rPr>
            </w:pPr>
            <w:r>
              <w:rPr>
                <w:color w:val="auto"/>
                <w:sz w:val="21"/>
                <w:szCs w:val="21"/>
                <w:lang w:bidi="ar"/>
              </w:rPr>
              <w:t>7</w:t>
            </w:r>
          </w:p>
        </w:tc>
        <w:tc>
          <w:tcPr>
            <w:tcW w:w="974"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 w:val="21"/>
                <w:szCs w:val="21"/>
              </w:rPr>
            </w:pPr>
            <w:r>
              <w:rPr>
                <w:rFonts w:hint="eastAsia"/>
                <w:color w:val="auto"/>
                <w:sz w:val="21"/>
                <w:szCs w:val="21"/>
              </w:rPr>
              <w:t>倪先生</w:t>
            </w:r>
          </w:p>
        </w:tc>
        <w:tc>
          <w:tcPr>
            <w:tcW w:w="221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 w:val="21"/>
                <w:szCs w:val="21"/>
              </w:rPr>
            </w:pPr>
            <w:r>
              <w:rPr>
                <w:rFonts w:hint="eastAsia"/>
                <w:color w:val="auto"/>
                <w:sz w:val="21"/>
                <w:szCs w:val="21"/>
              </w:rPr>
              <w:t>白龙桥镇东俞村村民</w:t>
            </w:r>
          </w:p>
        </w:tc>
        <w:tc>
          <w:tcPr>
            <w:tcW w:w="697"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 w:val="21"/>
                <w:szCs w:val="21"/>
              </w:rPr>
            </w:pPr>
            <w:r>
              <w:rPr>
                <w:color w:val="auto"/>
                <w:sz w:val="21"/>
                <w:szCs w:val="21"/>
              </w:rPr>
              <w:t>面谈</w:t>
            </w:r>
          </w:p>
        </w:tc>
        <w:tc>
          <w:tcPr>
            <w:tcW w:w="697"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 w:val="21"/>
                <w:szCs w:val="21"/>
                <w:lang w:bidi="ar"/>
              </w:rPr>
            </w:pPr>
            <w:r>
              <w:rPr>
                <w:color w:val="auto"/>
                <w:sz w:val="21"/>
                <w:szCs w:val="21"/>
              </w:rPr>
              <w:t>2023.9.26</w:t>
            </w:r>
          </w:p>
        </w:tc>
      </w:tr>
      <w:tr>
        <w:tblPrEx>
          <w:tblCellMar>
            <w:top w:w="0" w:type="dxa"/>
            <w:left w:w="108" w:type="dxa"/>
            <w:bottom w:w="0" w:type="dxa"/>
            <w:right w:w="108" w:type="dxa"/>
          </w:tblCellMar>
        </w:tblPrEx>
        <w:trPr>
          <w:trHeight w:val="340" w:hRule="atLeast"/>
          <w:jc w:val="center"/>
        </w:trPr>
        <w:tc>
          <w:tcPr>
            <w:tcW w:w="419"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 w:val="21"/>
                <w:szCs w:val="21"/>
                <w:lang w:bidi="ar"/>
              </w:rPr>
            </w:pPr>
            <w:r>
              <w:rPr>
                <w:rFonts w:hint="eastAsia"/>
                <w:color w:val="auto"/>
                <w:sz w:val="21"/>
                <w:szCs w:val="21"/>
                <w:lang w:bidi="ar"/>
              </w:rPr>
              <w:t>8</w:t>
            </w:r>
          </w:p>
        </w:tc>
        <w:tc>
          <w:tcPr>
            <w:tcW w:w="1809"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21"/>
                <w:szCs w:val="21"/>
              </w:rPr>
            </w:pPr>
            <w:r>
              <w:rPr>
                <w:rFonts w:hint="eastAsia"/>
                <w:color w:val="auto"/>
                <w:sz w:val="21"/>
                <w:szCs w:val="21"/>
              </w:rPr>
              <w:t>余书记</w:t>
            </w:r>
          </w:p>
        </w:tc>
        <w:tc>
          <w:tcPr>
            <w:tcW w:w="4110" w:type="dxa"/>
            <w:tcBorders>
              <w:top w:val="single" w:color="000000" w:sz="4" w:space="0"/>
              <w:left w:val="single" w:color="000000" w:sz="4" w:space="0"/>
              <w:bottom w:val="single" w:color="000000" w:sz="4" w:space="0"/>
              <w:right w:val="single" w:color="000000" w:sz="4" w:space="0"/>
            </w:tcBorders>
            <w:noWrap/>
            <w:vAlign w:val="center"/>
          </w:tcPr>
          <w:p>
            <w:pPr>
              <w:jc w:val="center"/>
              <w:rPr>
                <w:color w:val="auto"/>
                <w:sz w:val="21"/>
                <w:szCs w:val="21"/>
              </w:rPr>
            </w:pPr>
            <w:r>
              <w:rPr>
                <w:rFonts w:hint="eastAsia"/>
                <w:color w:val="auto"/>
                <w:sz w:val="21"/>
                <w:szCs w:val="21"/>
              </w:rPr>
              <w:t>东俞村村书记</w:t>
            </w:r>
          </w:p>
        </w:tc>
        <w:tc>
          <w:tcPr>
            <w:tcW w:w="697"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 w:val="21"/>
                <w:szCs w:val="21"/>
              </w:rPr>
            </w:pPr>
            <w:r>
              <w:rPr>
                <w:color w:val="auto"/>
                <w:sz w:val="21"/>
                <w:szCs w:val="21"/>
              </w:rPr>
              <w:t>电话访谈</w:t>
            </w:r>
          </w:p>
        </w:tc>
        <w:tc>
          <w:tcPr>
            <w:tcW w:w="697"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 w:val="21"/>
                <w:szCs w:val="21"/>
              </w:rPr>
            </w:pPr>
            <w:r>
              <w:rPr>
                <w:rFonts w:hint="eastAsia"/>
                <w:color w:val="auto"/>
                <w:sz w:val="21"/>
                <w:szCs w:val="21"/>
              </w:rPr>
              <w:t>2023.11.6</w:t>
            </w:r>
          </w:p>
        </w:tc>
      </w:tr>
      <w:tr>
        <w:tblPrEx>
          <w:tblCellMar>
            <w:top w:w="0" w:type="dxa"/>
            <w:left w:w="108" w:type="dxa"/>
            <w:bottom w:w="0" w:type="dxa"/>
            <w:right w:w="108" w:type="dxa"/>
          </w:tblCellMar>
        </w:tblPrEx>
        <w:trPr>
          <w:trHeight w:val="340" w:hRule="atLeast"/>
          <w:jc w:val="center"/>
        </w:trPr>
        <w:tc>
          <w:tcPr>
            <w:tcW w:w="419"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 w:val="21"/>
                <w:szCs w:val="21"/>
                <w:lang w:bidi="ar"/>
              </w:rPr>
            </w:pPr>
            <w:r>
              <w:rPr>
                <w:rFonts w:hint="eastAsia"/>
                <w:color w:val="auto"/>
                <w:sz w:val="21"/>
                <w:szCs w:val="21"/>
                <w:lang w:bidi="ar"/>
              </w:rPr>
              <w:t>9</w:t>
            </w:r>
          </w:p>
        </w:tc>
        <w:tc>
          <w:tcPr>
            <w:tcW w:w="974"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 w:val="21"/>
                <w:szCs w:val="21"/>
              </w:rPr>
            </w:pPr>
            <w:r>
              <w:rPr>
                <w:rFonts w:hint="eastAsia"/>
                <w:color w:val="auto"/>
                <w:sz w:val="21"/>
                <w:szCs w:val="21"/>
              </w:rPr>
              <w:t>李师傅</w:t>
            </w:r>
          </w:p>
        </w:tc>
        <w:tc>
          <w:tcPr>
            <w:tcW w:w="2213"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 w:val="21"/>
                <w:szCs w:val="21"/>
              </w:rPr>
            </w:pPr>
            <w:r>
              <w:rPr>
                <w:rFonts w:hint="eastAsia"/>
                <w:color w:val="auto"/>
                <w:sz w:val="21"/>
                <w:szCs w:val="21"/>
              </w:rPr>
              <w:t>地块施工单位</w:t>
            </w:r>
          </w:p>
        </w:tc>
        <w:tc>
          <w:tcPr>
            <w:tcW w:w="697"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 w:val="21"/>
                <w:szCs w:val="21"/>
              </w:rPr>
            </w:pPr>
            <w:r>
              <w:rPr>
                <w:color w:val="auto"/>
                <w:sz w:val="21"/>
                <w:szCs w:val="21"/>
              </w:rPr>
              <w:t>电话访谈</w:t>
            </w:r>
          </w:p>
        </w:tc>
        <w:tc>
          <w:tcPr>
            <w:tcW w:w="697"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 w:val="21"/>
                <w:szCs w:val="21"/>
              </w:rPr>
            </w:pPr>
            <w:r>
              <w:rPr>
                <w:rFonts w:hint="eastAsia"/>
                <w:color w:val="auto"/>
                <w:sz w:val="21"/>
                <w:szCs w:val="21"/>
              </w:rPr>
              <w:t>2023.11.6</w:t>
            </w:r>
          </w:p>
        </w:tc>
      </w:tr>
    </w:tbl>
    <w:p>
      <w:pPr>
        <w:rPr>
          <w:color w:val="auto"/>
        </w:rPr>
      </w:pPr>
    </w:p>
    <w:tbl>
      <w:tblPr>
        <w:tblStyle w:val="3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530"/>
        <w:gridCol w:w="45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530" w:type="dxa"/>
            <w:vAlign w:val="center"/>
          </w:tcPr>
          <w:p>
            <w:pPr>
              <w:jc w:val="center"/>
              <w:rPr>
                <w:sz w:val="24"/>
                <w:szCs w:val="24"/>
              </w:rPr>
            </w:pPr>
            <w:r>
              <w:rPr>
                <w:rFonts w:hint="eastAsia"/>
                <w:sz w:val="24"/>
                <w:szCs w:val="24"/>
              </w:rPr>
              <w:drawing>
                <wp:inline distT="0" distB="0" distL="114300" distR="114300">
                  <wp:extent cx="2724150" cy="2436495"/>
                  <wp:effectExtent l="0" t="0" r="0" b="1905"/>
                  <wp:docPr id="19" name="图片 19" descr="IMG_20230801_10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30801_102736"/>
                          <pic:cNvPicPr>
                            <a:picLocks noChangeAspect="1"/>
                          </pic:cNvPicPr>
                        </pic:nvPicPr>
                        <pic:blipFill>
                          <a:blip r:embed="rId34"/>
                          <a:stretch>
                            <a:fillRect/>
                          </a:stretch>
                        </pic:blipFill>
                        <pic:spPr>
                          <a:xfrm>
                            <a:off x="0" y="0"/>
                            <a:ext cx="2724150" cy="2436495"/>
                          </a:xfrm>
                          <a:prstGeom prst="rect">
                            <a:avLst/>
                          </a:prstGeom>
                        </pic:spPr>
                      </pic:pic>
                    </a:graphicData>
                  </a:graphic>
                </wp:inline>
              </w:drawing>
            </w:r>
          </w:p>
        </w:tc>
        <w:tc>
          <w:tcPr>
            <w:tcW w:w="4530" w:type="dxa"/>
            <w:vAlign w:val="center"/>
          </w:tcPr>
          <w:p>
            <w:pPr>
              <w:spacing w:line="360" w:lineRule="auto"/>
              <w:jc w:val="center"/>
              <w:rPr>
                <w:sz w:val="24"/>
                <w:szCs w:val="24"/>
              </w:rPr>
            </w:pPr>
            <w:r>
              <w:drawing>
                <wp:inline distT="0" distB="0" distL="114300" distR="114300">
                  <wp:extent cx="2737485" cy="2498090"/>
                  <wp:effectExtent l="0" t="0" r="5715" b="165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35"/>
                          <a:stretch>
                            <a:fillRect/>
                          </a:stretch>
                        </pic:blipFill>
                        <pic:spPr>
                          <a:xfrm>
                            <a:off x="0" y="0"/>
                            <a:ext cx="2737485" cy="2498090"/>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530" w:type="dxa"/>
            <w:vAlign w:val="center"/>
          </w:tcPr>
          <w:p>
            <w:pPr>
              <w:jc w:val="center"/>
              <w:rPr>
                <w:sz w:val="24"/>
                <w:szCs w:val="24"/>
              </w:rPr>
            </w:pPr>
            <w:r>
              <w:rPr>
                <w:rFonts w:hint="eastAsia"/>
                <w:sz w:val="21"/>
                <w:szCs w:val="21"/>
              </w:rPr>
              <w:t>金华市金婺资源开发集团有限公司：羊再帅</w:t>
            </w:r>
          </w:p>
        </w:tc>
        <w:tc>
          <w:tcPr>
            <w:tcW w:w="4530" w:type="dxa"/>
            <w:vAlign w:val="center"/>
          </w:tcPr>
          <w:p>
            <w:pPr>
              <w:jc w:val="center"/>
            </w:pPr>
            <w:r>
              <w:rPr>
                <w:rFonts w:hint="eastAsia"/>
                <w:sz w:val="21"/>
                <w:szCs w:val="21"/>
              </w:rPr>
              <w:t>婺城经济开发区：王霞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530" w:type="dxa"/>
            <w:vAlign w:val="center"/>
          </w:tcPr>
          <w:p>
            <w:pPr>
              <w:jc w:val="center"/>
              <w:rPr>
                <w:sz w:val="24"/>
                <w:szCs w:val="24"/>
              </w:rPr>
            </w:pPr>
            <w:r>
              <w:rPr>
                <w:rFonts w:hint="eastAsia"/>
                <w:sz w:val="24"/>
                <w:szCs w:val="24"/>
              </w:rPr>
              <w:drawing>
                <wp:inline distT="0" distB="0" distL="114300" distR="114300">
                  <wp:extent cx="2731135" cy="3006725"/>
                  <wp:effectExtent l="0" t="0" r="12065" b="3175"/>
                  <wp:docPr id="22" name="图片 22" descr="a8a3260ac63e3611a4f0947af1002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a8a3260ac63e3611a4f0947af1002ba"/>
                          <pic:cNvPicPr>
                            <a:picLocks noChangeAspect="1"/>
                          </pic:cNvPicPr>
                        </pic:nvPicPr>
                        <pic:blipFill>
                          <a:blip r:embed="rId36"/>
                          <a:srcRect/>
                          <a:stretch>
                            <a:fillRect/>
                          </a:stretch>
                        </pic:blipFill>
                        <pic:spPr>
                          <a:xfrm>
                            <a:off x="0" y="0"/>
                            <a:ext cx="2731135" cy="3006725"/>
                          </a:xfrm>
                          <a:prstGeom prst="rect">
                            <a:avLst/>
                          </a:prstGeom>
                        </pic:spPr>
                      </pic:pic>
                    </a:graphicData>
                  </a:graphic>
                </wp:inline>
              </w:drawing>
            </w:r>
          </w:p>
        </w:tc>
        <w:tc>
          <w:tcPr>
            <w:tcW w:w="4530" w:type="dxa"/>
            <w:vAlign w:val="center"/>
          </w:tcPr>
          <w:p>
            <w:pPr>
              <w:jc w:val="center"/>
              <w:rPr>
                <w:sz w:val="24"/>
                <w:szCs w:val="24"/>
              </w:rPr>
            </w:pPr>
            <w:r>
              <w:rPr>
                <w:rFonts w:hint="eastAsia"/>
                <w:sz w:val="24"/>
                <w:szCs w:val="24"/>
              </w:rPr>
              <w:drawing>
                <wp:inline distT="0" distB="0" distL="114300" distR="114300">
                  <wp:extent cx="2720975" cy="3196590"/>
                  <wp:effectExtent l="0" t="0" r="3175" b="3810"/>
                  <wp:docPr id="18" name="图片 18" descr="b84f678ff6beb01faea64de8f7e7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b84f678ff6beb01faea64de8f7e7916"/>
                          <pic:cNvPicPr>
                            <a:picLocks noChangeAspect="1"/>
                          </pic:cNvPicPr>
                        </pic:nvPicPr>
                        <pic:blipFill>
                          <a:blip r:embed="rId37"/>
                          <a:srcRect/>
                          <a:stretch>
                            <a:fillRect/>
                          </a:stretch>
                        </pic:blipFill>
                        <pic:spPr>
                          <a:xfrm>
                            <a:off x="0" y="0"/>
                            <a:ext cx="2720975" cy="319659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30" w:type="dxa"/>
            <w:vAlign w:val="center"/>
          </w:tcPr>
          <w:p>
            <w:pPr>
              <w:jc w:val="center"/>
              <w:rPr>
                <w:sz w:val="24"/>
                <w:szCs w:val="24"/>
              </w:rPr>
            </w:pPr>
            <w:r>
              <w:rPr>
                <w:rFonts w:hint="eastAsia"/>
                <w:sz w:val="21"/>
                <w:szCs w:val="21"/>
              </w:rPr>
              <w:t>白龙桥镇资规所：潘所</w:t>
            </w:r>
          </w:p>
        </w:tc>
        <w:tc>
          <w:tcPr>
            <w:tcW w:w="4530" w:type="dxa"/>
            <w:vAlign w:val="center"/>
          </w:tcPr>
          <w:p>
            <w:pPr>
              <w:jc w:val="center"/>
              <w:rPr>
                <w:sz w:val="24"/>
                <w:szCs w:val="24"/>
              </w:rPr>
            </w:pPr>
            <w:r>
              <w:rPr>
                <w:rFonts w:hint="eastAsia"/>
                <w:sz w:val="21"/>
                <w:szCs w:val="21"/>
              </w:rPr>
              <w:t>白龙桥镇东俞村村民：倪先生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530" w:type="dxa"/>
            <w:vAlign w:val="center"/>
          </w:tcPr>
          <w:p>
            <w:pPr>
              <w:jc w:val="center"/>
              <w:rPr>
                <w:sz w:val="24"/>
                <w:szCs w:val="24"/>
              </w:rPr>
            </w:pPr>
            <w:r>
              <w:rPr>
                <w:rFonts w:hint="eastAsia"/>
                <w:sz w:val="24"/>
                <w:szCs w:val="24"/>
              </w:rPr>
              <w:drawing>
                <wp:inline distT="0" distB="0" distL="114300" distR="114300">
                  <wp:extent cx="2705100" cy="2028825"/>
                  <wp:effectExtent l="0" t="0" r="0" b="9525"/>
                  <wp:docPr id="10" name="图片 10" descr="IMG_20230801_140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30801_140554"/>
                          <pic:cNvPicPr>
                            <a:picLocks noChangeAspect="1"/>
                          </pic:cNvPicPr>
                        </pic:nvPicPr>
                        <pic:blipFill>
                          <a:blip r:embed="rId38"/>
                          <a:stretch>
                            <a:fillRect/>
                          </a:stretch>
                        </pic:blipFill>
                        <pic:spPr>
                          <a:xfrm>
                            <a:off x="0" y="0"/>
                            <a:ext cx="2705100" cy="2028825"/>
                          </a:xfrm>
                          <a:prstGeom prst="rect">
                            <a:avLst/>
                          </a:prstGeom>
                        </pic:spPr>
                      </pic:pic>
                    </a:graphicData>
                  </a:graphic>
                </wp:inline>
              </w:drawing>
            </w:r>
          </w:p>
        </w:tc>
        <w:tc>
          <w:tcPr>
            <w:tcW w:w="4530" w:type="dxa"/>
            <w:vAlign w:val="center"/>
          </w:tcPr>
          <w:p>
            <w:pPr>
              <w:jc w:val="center"/>
              <w:rPr>
                <w:sz w:val="24"/>
                <w:szCs w:val="24"/>
              </w:rPr>
            </w:pPr>
            <w:r>
              <w:rPr>
                <w:rFonts w:hint="eastAsia"/>
                <w:sz w:val="24"/>
                <w:szCs w:val="24"/>
              </w:rPr>
              <w:drawing>
                <wp:inline distT="0" distB="0" distL="114300" distR="114300">
                  <wp:extent cx="2705100" cy="2028825"/>
                  <wp:effectExtent l="0" t="0" r="0" b="9525"/>
                  <wp:docPr id="9" name="图片 9" descr="IMG_20230801_14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30801_140013"/>
                          <pic:cNvPicPr>
                            <a:picLocks noChangeAspect="1"/>
                          </pic:cNvPicPr>
                        </pic:nvPicPr>
                        <pic:blipFill>
                          <a:blip r:embed="rId39"/>
                          <a:stretch>
                            <a:fillRect/>
                          </a:stretch>
                        </pic:blipFill>
                        <pic:spPr>
                          <a:xfrm>
                            <a:off x="0" y="0"/>
                            <a:ext cx="2705100" cy="2028825"/>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30" w:type="dxa"/>
            <w:vAlign w:val="center"/>
          </w:tcPr>
          <w:p>
            <w:pPr>
              <w:jc w:val="center"/>
              <w:rPr>
                <w:sz w:val="24"/>
                <w:szCs w:val="24"/>
              </w:rPr>
            </w:pPr>
            <w:r>
              <w:rPr>
                <w:rFonts w:hint="eastAsia"/>
                <w:sz w:val="21"/>
                <w:szCs w:val="21"/>
              </w:rPr>
              <w:t>白龙桥镇东俞村村委：滕卫法</w:t>
            </w:r>
          </w:p>
        </w:tc>
        <w:tc>
          <w:tcPr>
            <w:tcW w:w="4530" w:type="dxa"/>
            <w:vAlign w:val="center"/>
          </w:tcPr>
          <w:p>
            <w:pPr>
              <w:jc w:val="center"/>
              <w:rPr>
                <w:sz w:val="24"/>
                <w:szCs w:val="24"/>
              </w:rPr>
            </w:pPr>
            <w:r>
              <w:rPr>
                <w:rFonts w:hint="eastAsia"/>
                <w:sz w:val="21"/>
                <w:szCs w:val="21"/>
              </w:rPr>
              <w:t>白龙桥镇东俞村村委：俞女士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30" w:type="dxa"/>
            <w:vAlign w:val="center"/>
          </w:tcPr>
          <w:p>
            <w:pPr>
              <w:jc w:val="center"/>
              <w:rPr>
                <w:color w:val="auto"/>
                <w:sz w:val="21"/>
                <w:szCs w:val="21"/>
              </w:rPr>
            </w:pPr>
            <w:r>
              <w:rPr>
                <w:rFonts w:hint="eastAsia"/>
                <w:color w:val="auto"/>
                <w:sz w:val="21"/>
                <w:szCs w:val="21"/>
              </w:rPr>
              <w:drawing>
                <wp:inline distT="0" distB="0" distL="114300" distR="114300">
                  <wp:extent cx="2735580" cy="5954395"/>
                  <wp:effectExtent l="0" t="0" r="7620" b="8255"/>
                  <wp:docPr id="17" name="图片 17" descr="5233bc5cdd3a6808e2222cff8f8cd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5233bc5cdd3a6808e2222cff8f8cd67"/>
                          <pic:cNvPicPr>
                            <a:picLocks noChangeAspect="1"/>
                          </pic:cNvPicPr>
                        </pic:nvPicPr>
                        <pic:blipFill>
                          <a:blip r:embed="rId40"/>
                          <a:stretch>
                            <a:fillRect/>
                          </a:stretch>
                        </pic:blipFill>
                        <pic:spPr>
                          <a:xfrm>
                            <a:off x="0" y="0"/>
                            <a:ext cx="2735580" cy="5954395"/>
                          </a:xfrm>
                          <a:prstGeom prst="rect">
                            <a:avLst/>
                          </a:prstGeom>
                        </pic:spPr>
                      </pic:pic>
                    </a:graphicData>
                  </a:graphic>
                </wp:inline>
              </w:drawing>
            </w:r>
          </w:p>
        </w:tc>
        <w:tc>
          <w:tcPr>
            <w:tcW w:w="4530" w:type="dxa"/>
            <w:vAlign w:val="center"/>
          </w:tcPr>
          <w:p>
            <w:pPr>
              <w:jc w:val="center"/>
              <w:rPr>
                <w:color w:val="auto"/>
                <w:sz w:val="21"/>
                <w:szCs w:val="21"/>
              </w:rPr>
            </w:pPr>
            <w:r>
              <w:rPr>
                <w:rFonts w:hint="eastAsia"/>
                <w:color w:val="auto"/>
                <w:sz w:val="21"/>
                <w:szCs w:val="21"/>
              </w:rPr>
              <w:drawing>
                <wp:inline distT="0" distB="0" distL="114300" distR="114300">
                  <wp:extent cx="2735580" cy="5954395"/>
                  <wp:effectExtent l="0" t="0" r="7620" b="8255"/>
                  <wp:docPr id="20" name="图片 20" descr="90ce47320277f602523c0265155d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90ce47320277f602523c0265155d859"/>
                          <pic:cNvPicPr>
                            <a:picLocks noChangeAspect="1"/>
                          </pic:cNvPicPr>
                        </pic:nvPicPr>
                        <pic:blipFill>
                          <a:blip r:embed="rId41"/>
                          <a:stretch>
                            <a:fillRect/>
                          </a:stretch>
                        </pic:blipFill>
                        <pic:spPr>
                          <a:xfrm>
                            <a:off x="0" y="0"/>
                            <a:ext cx="2735580" cy="5954395"/>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530" w:type="dxa"/>
            <w:vAlign w:val="center"/>
          </w:tcPr>
          <w:p>
            <w:pPr>
              <w:jc w:val="center"/>
              <w:rPr>
                <w:color w:val="auto"/>
                <w:sz w:val="21"/>
                <w:szCs w:val="21"/>
              </w:rPr>
            </w:pPr>
            <w:r>
              <w:rPr>
                <w:rFonts w:hint="eastAsia"/>
                <w:color w:val="auto"/>
                <w:sz w:val="21"/>
                <w:szCs w:val="21"/>
              </w:rPr>
              <w:t>东俞村村书记：余书记</w:t>
            </w:r>
          </w:p>
        </w:tc>
        <w:tc>
          <w:tcPr>
            <w:tcW w:w="4530" w:type="dxa"/>
            <w:vAlign w:val="center"/>
          </w:tcPr>
          <w:p>
            <w:pPr>
              <w:jc w:val="center"/>
              <w:rPr>
                <w:color w:val="auto"/>
                <w:sz w:val="21"/>
                <w:szCs w:val="21"/>
              </w:rPr>
            </w:pPr>
            <w:r>
              <w:rPr>
                <w:rFonts w:hint="eastAsia"/>
                <w:color w:val="auto"/>
                <w:sz w:val="21"/>
                <w:szCs w:val="21"/>
              </w:rPr>
              <w:t>地块施工单位：李师傅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60" w:type="dxa"/>
            <w:gridSpan w:val="2"/>
            <w:vAlign w:val="center"/>
          </w:tcPr>
          <w:p>
            <w:pPr>
              <w:jc w:val="center"/>
              <w:rPr>
                <w:sz w:val="24"/>
                <w:szCs w:val="24"/>
              </w:rPr>
            </w:pPr>
            <w:r>
              <w:rPr>
                <w:sz w:val="24"/>
                <w:szCs w:val="24"/>
              </w:rPr>
              <w:drawing>
                <wp:inline distT="0" distB="0" distL="0" distR="0">
                  <wp:extent cx="2357755" cy="3599815"/>
                  <wp:effectExtent l="0" t="0" r="4445"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42"/>
                          <a:srcRect/>
                          <a:stretch>
                            <a:fillRect/>
                          </a:stretch>
                        </pic:blipFill>
                        <pic:spPr>
                          <a:xfrm>
                            <a:off x="0" y="0"/>
                            <a:ext cx="2357755" cy="3599815"/>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60" w:type="dxa"/>
            <w:gridSpan w:val="2"/>
            <w:vAlign w:val="center"/>
          </w:tcPr>
          <w:p>
            <w:pPr>
              <w:jc w:val="center"/>
              <w:rPr>
                <w:sz w:val="24"/>
                <w:szCs w:val="24"/>
              </w:rPr>
            </w:pPr>
            <w:r>
              <w:rPr>
                <w:rFonts w:hint="eastAsia"/>
                <w:sz w:val="21"/>
                <w:szCs w:val="21"/>
              </w:rPr>
              <w:t>白龙桥镇环保专员：周吉鸿(电话访谈)</w:t>
            </w:r>
          </w:p>
        </w:tc>
      </w:tr>
    </w:tbl>
    <w:p>
      <w:pPr>
        <w:spacing w:line="360" w:lineRule="auto"/>
        <w:jc w:val="center"/>
        <w:rPr>
          <w:b/>
          <w:sz w:val="24"/>
          <w:szCs w:val="24"/>
        </w:rPr>
      </w:pPr>
      <w:r>
        <w:rPr>
          <w:b/>
          <w:sz w:val="24"/>
          <w:szCs w:val="24"/>
        </w:rPr>
        <w:t>图5.2-1  人员访谈工作照片</w:t>
      </w:r>
    </w:p>
    <w:p>
      <w:pPr>
        <w:spacing w:line="440" w:lineRule="exact"/>
        <w:ind w:firstLine="480" w:firstLineChars="200"/>
        <w:rPr>
          <w:sz w:val="24"/>
          <w:szCs w:val="24"/>
        </w:rPr>
      </w:pPr>
      <w:r>
        <w:rPr>
          <w:sz w:val="24"/>
          <w:szCs w:val="24"/>
        </w:rPr>
        <w:t>通过人员访谈，主要了解到该地块及周边土地利用历史及规划情况等，具体如下：</w:t>
      </w:r>
    </w:p>
    <w:p>
      <w:pPr>
        <w:spacing w:line="440" w:lineRule="exact"/>
        <w:ind w:firstLine="480" w:firstLineChars="200"/>
        <w:rPr>
          <w:sz w:val="24"/>
          <w:szCs w:val="24"/>
        </w:rPr>
      </w:pPr>
      <w:r>
        <w:rPr>
          <w:sz w:val="24"/>
          <w:szCs w:val="24"/>
        </w:rPr>
        <w:t>(1)该地块使用权人历史变更情况：本地块历史上原属于</w:t>
      </w:r>
      <w:r>
        <w:rPr>
          <w:rFonts w:hint="eastAsia"/>
          <w:sz w:val="24"/>
          <w:szCs w:val="24"/>
        </w:rPr>
        <w:t>白龙桥镇东俞村</w:t>
      </w:r>
      <w:r>
        <w:rPr>
          <w:sz w:val="24"/>
          <w:szCs w:val="24"/>
        </w:rPr>
        <w:t>的农用地，于2023年被</w:t>
      </w:r>
      <w:r>
        <w:rPr>
          <w:rFonts w:hint="eastAsia"/>
          <w:sz w:val="24"/>
          <w:szCs w:val="24"/>
        </w:rPr>
        <w:t>婺城区人民政府</w:t>
      </w:r>
      <w:r>
        <w:rPr>
          <w:sz w:val="24"/>
          <w:szCs w:val="24"/>
        </w:rPr>
        <w:t>征收。</w:t>
      </w:r>
    </w:p>
    <w:p>
      <w:pPr>
        <w:spacing w:line="440" w:lineRule="exact"/>
        <w:ind w:firstLine="480" w:firstLineChars="200"/>
        <w:rPr>
          <w:color w:val="auto"/>
          <w:sz w:val="24"/>
          <w:szCs w:val="24"/>
        </w:rPr>
      </w:pPr>
      <w:r>
        <w:rPr>
          <w:color w:val="auto"/>
          <w:sz w:val="24"/>
          <w:szCs w:val="24"/>
        </w:rPr>
        <w:t>(2)该地块在2011年以前</w:t>
      </w:r>
      <w:r>
        <w:rPr>
          <w:rFonts w:hint="eastAsia"/>
          <w:color w:val="auto"/>
          <w:sz w:val="24"/>
          <w:szCs w:val="24"/>
        </w:rPr>
        <w:t>以种植水稻为主</w:t>
      </w:r>
      <w:r>
        <w:rPr>
          <w:color w:val="auto"/>
          <w:sz w:val="24"/>
          <w:szCs w:val="24"/>
        </w:rPr>
        <w:t>；2011年~2023年期间</w:t>
      </w:r>
      <w:r>
        <w:rPr>
          <w:rFonts w:hint="eastAsia"/>
          <w:color w:val="auto"/>
          <w:sz w:val="24"/>
          <w:szCs w:val="24"/>
        </w:rPr>
        <w:t>部分土地</w:t>
      </w:r>
      <w:r>
        <w:rPr>
          <w:color w:val="auto"/>
          <w:sz w:val="24"/>
          <w:szCs w:val="24"/>
        </w:rPr>
        <w:t>种植林木</w:t>
      </w:r>
      <w:r>
        <w:rPr>
          <w:rFonts w:hint="eastAsia"/>
          <w:color w:val="auto"/>
          <w:sz w:val="24"/>
          <w:szCs w:val="24"/>
        </w:rPr>
        <w:t>和时蔬，部分土地为荒地和池塘</w:t>
      </w:r>
      <w:r>
        <w:rPr>
          <w:color w:val="auto"/>
          <w:sz w:val="24"/>
          <w:szCs w:val="24"/>
        </w:rPr>
        <w:t>；2023年9月开始进行施工</w:t>
      </w:r>
      <w:r>
        <w:rPr>
          <w:rFonts w:hint="eastAsia"/>
          <w:color w:val="auto"/>
          <w:sz w:val="24"/>
          <w:szCs w:val="24"/>
        </w:rPr>
        <w:t>平整土地</w:t>
      </w:r>
      <w:r>
        <w:rPr>
          <w:color w:val="auto"/>
          <w:sz w:val="24"/>
          <w:shd w:val="clear" w:color="auto" w:fill="FFFFFF"/>
        </w:rPr>
        <w:t>。</w:t>
      </w:r>
    </w:p>
    <w:p>
      <w:pPr>
        <w:spacing w:line="440" w:lineRule="exact"/>
        <w:ind w:firstLine="480" w:firstLineChars="200"/>
        <w:rPr>
          <w:color w:val="auto"/>
          <w:sz w:val="24"/>
          <w:szCs w:val="24"/>
        </w:rPr>
      </w:pPr>
      <w:r>
        <w:rPr>
          <w:rFonts w:hint="eastAsia"/>
          <w:color w:val="auto"/>
          <w:sz w:val="24"/>
          <w:szCs w:val="24"/>
        </w:rPr>
        <w:t>(3)地块外西南侧约50m处存在采沙场堆场，主要用于砂石堆放转运，为生产废气废水产生，采沙场成立时间为2010年，于2018年搬迁。</w:t>
      </w:r>
    </w:p>
    <w:p>
      <w:pPr>
        <w:spacing w:line="440" w:lineRule="exact"/>
        <w:ind w:firstLine="480" w:firstLineChars="200"/>
        <w:rPr>
          <w:sz w:val="24"/>
          <w:szCs w:val="24"/>
        </w:rPr>
      </w:pPr>
      <w:r>
        <w:rPr>
          <w:color w:val="auto"/>
          <w:sz w:val="24"/>
          <w:szCs w:val="24"/>
        </w:rPr>
        <w:t>(</w:t>
      </w:r>
      <w:r>
        <w:rPr>
          <w:rFonts w:hint="eastAsia"/>
          <w:color w:val="auto"/>
          <w:sz w:val="24"/>
          <w:szCs w:val="24"/>
        </w:rPr>
        <w:t>4</w:t>
      </w:r>
      <w:r>
        <w:rPr>
          <w:color w:val="auto"/>
          <w:sz w:val="24"/>
          <w:szCs w:val="24"/>
        </w:rPr>
        <w:t>)相邻地块历史上主要是耕地、荒地</w:t>
      </w:r>
      <w:r>
        <w:rPr>
          <w:rFonts w:hint="eastAsia"/>
          <w:color w:val="auto"/>
          <w:sz w:val="24"/>
          <w:szCs w:val="24"/>
        </w:rPr>
        <w:t>和池塘</w:t>
      </w:r>
      <w:r>
        <w:rPr>
          <w:color w:val="auto"/>
          <w:sz w:val="24"/>
          <w:szCs w:val="24"/>
        </w:rPr>
        <w:t>。</w:t>
      </w:r>
      <w:r>
        <w:rPr>
          <w:rFonts w:hint="eastAsia"/>
          <w:color w:val="auto"/>
          <w:sz w:val="24"/>
          <w:szCs w:val="24"/>
        </w:rPr>
        <w:t>周边地块</w:t>
      </w:r>
      <w:r>
        <w:rPr>
          <w:color w:val="auto"/>
          <w:sz w:val="24"/>
          <w:szCs w:val="24"/>
        </w:rPr>
        <w:t>100m</w:t>
      </w:r>
      <w:r>
        <w:rPr>
          <w:rFonts w:hint="eastAsia"/>
          <w:color w:val="auto"/>
          <w:sz w:val="24"/>
          <w:szCs w:val="24"/>
        </w:rPr>
        <w:t>范围内无</w:t>
      </w:r>
      <w:r>
        <w:rPr>
          <w:color w:val="auto"/>
          <w:sz w:val="24"/>
          <w:szCs w:val="24"/>
        </w:rPr>
        <w:t>工业企业</w:t>
      </w:r>
      <w:r>
        <w:rPr>
          <w:rFonts w:hint="eastAsia"/>
          <w:color w:val="auto"/>
          <w:sz w:val="24"/>
          <w:szCs w:val="24"/>
        </w:rPr>
        <w:t>1km</w:t>
      </w:r>
      <w:r>
        <w:rPr>
          <w:rFonts w:hint="eastAsia"/>
          <w:sz w:val="24"/>
          <w:szCs w:val="24"/>
        </w:rPr>
        <w:t>范围内无重污染工业企业</w:t>
      </w:r>
      <w:r>
        <w:rPr>
          <w:sz w:val="24"/>
          <w:szCs w:val="24"/>
        </w:rPr>
        <w:t>。</w:t>
      </w:r>
    </w:p>
    <w:p>
      <w:pPr>
        <w:spacing w:line="440" w:lineRule="exact"/>
        <w:ind w:firstLine="480" w:firstLineChars="200"/>
        <w:rPr>
          <w:sz w:val="24"/>
          <w:szCs w:val="24"/>
        </w:rPr>
      </w:pPr>
      <w:r>
        <w:rPr>
          <w:sz w:val="24"/>
          <w:szCs w:val="24"/>
        </w:rPr>
        <w:t>(</w:t>
      </w:r>
      <w:r>
        <w:rPr>
          <w:rFonts w:hint="eastAsia"/>
          <w:sz w:val="24"/>
          <w:szCs w:val="24"/>
        </w:rPr>
        <w:t>5</w:t>
      </w:r>
      <w:r>
        <w:rPr>
          <w:sz w:val="24"/>
          <w:szCs w:val="24"/>
        </w:rPr>
        <w:t>)地块内及地块周边未发生过环境违法事件、未发生过环境污染事件、未收到环境投诉事件，地块内历史上无固废填埋、堆放，无外来土填埋、堆放。</w:t>
      </w:r>
    </w:p>
    <w:p>
      <w:pPr>
        <w:pStyle w:val="116"/>
        <w:rPr>
          <w:rFonts w:ascii="Times New Roman" w:hAnsi="Times New Roman" w:eastAsia="宋体"/>
          <w:szCs w:val="28"/>
        </w:rPr>
      </w:pPr>
      <w:bookmarkStart w:id="61" w:name="_Toc149641994"/>
      <w:r>
        <w:rPr>
          <w:rFonts w:ascii="Times New Roman" w:hAnsi="Times New Roman" w:eastAsia="宋体"/>
          <w:szCs w:val="28"/>
        </w:rPr>
        <w:t>5.3 有毒有害物质的储存、使用和处置情况分析</w:t>
      </w:r>
      <w:bookmarkEnd w:id="61"/>
    </w:p>
    <w:p>
      <w:pPr>
        <w:spacing w:line="440" w:lineRule="exact"/>
        <w:ind w:firstLine="480" w:firstLineChars="200"/>
        <w:rPr>
          <w:sz w:val="24"/>
          <w:szCs w:val="24"/>
        </w:rPr>
      </w:pPr>
      <w:r>
        <w:rPr>
          <w:sz w:val="24"/>
          <w:szCs w:val="24"/>
        </w:rPr>
        <w:t>根据现场踏勘和人员访谈情况，地块内历史上未涉及工矿用途，未涉及固体废物和危险废物堆放、倾倒、填埋等，未涉及有毒有害物质的储存、使用和处置。</w:t>
      </w:r>
    </w:p>
    <w:p>
      <w:pPr>
        <w:pStyle w:val="116"/>
        <w:rPr>
          <w:rFonts w:ascii="Times New Roman" w:hAnsi="Times New Roman" w:eastAsia="宋体"/>
          <w:szCs w:val="28"/>
        </w:rPr>
      </w:pPr>
      <w:bookmarkStart w:id="62" w:name="_Toc149641995"/>
      <w:r>
        <w:rPr>
          <w:rFonts w:ascii="Times New Roman" w:hAnsi="Times New Roman" w:eastAsia="宋体"/>
          <w:szCs w:val="28"/>
        </w:rPr>
        <w:t>5.4 各类槽罐内的物质和泄漏评价</w:t>
      </w:r>
      <w:bookmarkEnd w:id="62"/>
    </w:p>
    <w:p>
      <w:pPr>
        <w:spacing w:line="440" w:lineRule="exact"/>
        <w:ind w:firstLine="480" w:firstLineChars="200"/>
        <w:rPr>
          <w:sz w:val="24"/>
          <w:szCs w:val="24"/>
        </w:rPr>
      </w:pPr>
      <w:r>
        <w:rPr>
          <w:sz w:val="24"/>
          <w:szCs w:val="24"/>
        </w:rPr>
        <w:t>根据现场踏勘和人员访谈情况，地块内不涉及槽罐堆放，因此不存在槽罐泄露情况。</w:t>
      </w:r>
    </w:p>
    <w:p>
      <w:pPr>
        <w:pStyle w:val="116"/>
        <w:rPr>
          <w:rFonts w:ascii="Times New Roman" w:hAnsi="Times New Roman" w:eastAsia="宋体"/>
          <w:szCs w:val="28"/>
        </w:rPr>
      </w:pPr>
      <w:bookmarkStart w:id="63" w:name="_Toc149641996"/>
      <w:r>
        <w:rPr>
          <w:rFonts w:ascii="Times New Roman" w:hAnsi="Times New Roman" w:eastAsia="宋体"/>
          <w:szCs w:val="28"/>
        </w:rPr>
        <w:t>5.5 固体废物和危险废物的处理评价</w:t>
      </w:r>
      <w:bookmarkEnd w:id="63"/>
    </w:p>
    <w:p>
      <w:pPr>
        <w:spacing w:line="440" w:lineRule="exact"/>
        <w:ind w:firstLine="480" w:firstLineChars="200"/>
        <w:rPr>
          <w:sz w:val="24"/>
          <w:szCs w:val="24"/>
        </w:rPr>
      </w:pPr>
      <w:r>
        <w:rPr>
          <w:sz w:val="24"/>
          <w:szCs w:val="24"/>
        </w:rPr>
        <w:t>根据现场踏勘和人员访谈情况，地块内无工业企业存在，不产生固体废物和危险废物物，地块内无外来固体废物和危险废物堆放。</w:t>
      </w:r>
    </w:p>
    <w:p>
      <w:pPr>
        <w:pStyle w:val="116"/>
        <w:rPr>
          <w:rFonts w:ascii="Times New Roman" w:hAnsi="Times New Roman" w:eastAsia="宋体"/>
          <w:szCs w:val="28"/>
        </w:rPr>
      </w:pPr>
      <w:bookmarkStart w:id="64" w:name="_Toc149641997"/>
      <w:r>
        <w:rPr>
          <w:rFonts w:ascii="Times New Roman" w:hAnsi="Times New Roman" w:eastAsia="宋体"/>
          <w:szCs w:val="28"/>
        </w:rPr>
        <w:t>5.6 管线、沟渠泄漏评价</w:t>
      </w:r>
      <w:bookmarkEnd w:id="64"/>
    </w:p>
    <w:p>
      <w:pPr>
        <w:spacing w:line="440" w:lineRule="exact"/>
        <w:ind w:firstLine="480" w:firstLineChars="200"/>
        <w:rPr>
          <w:sz w:val="24"/>
          <w:szCs w:val="24"/>
        </w:rPr>
      </w:pPr>
      <w:r>
        <w:rPr>
          <w:sz w:val="24"/>
          <w:szCs w:val="24"/>
        </w:rPr>
        <w:t>根据现场踏勘和人员访谈情况，地块内无工业企业存在，因此不存在工业管线、沟渠泄露情况。</w:t>
      </w:r>
    </w:p>
    <w:p>
      <w:pPr>
        <w:pStyle w:val="116"/>
        <w:rPr>
          <w:rFonts w:ascii="Times New Roman" w:hAnsi="Times New Roman" w:eastAsia="宋体"/>
          <w:szCs w:val="28"/>
        </w:rPr>
      </w:pPr>
      <w:bookmarkStart w:id="65" w:name="_Toc149641998"/>
      <w:r>
        <w:rPr>
          <w:rFonts w:ascii="Times New Roman" w:hAnsi="Times New Roman" w:eastAsia="宋体"/>
          <w:szCs w:val="28"/>
        </w:rPr>
        <w:t>5.7 与污染物迁移相关的环境因素分析</w:t>
      </w:r>
      <w:bookmarkEnd w:id="65"/>
    </w:p>
    <w:p>
      <w:pPr>
        <w:spacing w:line="440" w:lineRule="exact"/>
        <w:ind w:firstLine="480" w:firstLineChars="200"/>
        <w:rPr>
          <w:sz w:val="24"/>
          <w:szCs w:val="24"/>
        </w:rPr>
      </w:pPr>
      <w:r>
        <w:rPr>
          <w:sz w:val="24"/>
          <w:szCs w:val="24"/>
        </w:rPr>
        <w:t>污染物迁移是指污染物在环境中发生空间位置的移动及其所引起的污染物富集、扩散和消失的过程。根据现场踏勘，地块东侧相邻为</w:t>
      </w:r>
      <w:r>
        <w:rPr>
          <w:rFonts w:hint="eastAsia"/>
          <w:sz w:val="24"/>
          <w:szCs w:val="24"/>
        </w:rPr>
        <w:t>耕地</w:t>
      </w:r>
      <w:r>
        <w:rPr>
          <w:sz w:val="24"/>
          <w:szCs w:val="24"/>
        </w:rPr>
        <w:t>，南、西侧相邻</w:t>
      </w:r>
      <w:r>
        <w:rPr>
          <w:rFonts w:hint="eastAsia"/>
          <w:sz w:val="24"/>
          <w:szCs w:val="24"/>
        </w:rPr>
        <w:t>为荒地</w:t>
      </w:r>
      <w:r>
        <w:rPr>
          <w:sz w:val="24"/>
          <w:szCs w:val="24"/>
        </w:rPr>
        <w:t>，北侧相邻</w:t>
      </w:r>
      <w:r>
        <w:rPr>
          <w:rFonts w:hint="eastAsia"/>
          <w:sz w:val="24"/>
          <w:szCs w:val="24"/>
        </w:rPr>
        <w:t>为耕地和池塘</w:t>
      </w:r>
      <w:r>
        <w:rPr>
          <w:sz w:val="24"/>
          <w:szCs w:val="24"/>
        </w:rPr>
        <w:t>。根据人员访谈，相邻地块历史上主要是耕地、荒地</w:t>
      </w:r>
      <w:r>
        <w:rPr>
          <w:rFonts w:hint="eastAsia"/>
          <w:sz w:val="24"/>
          <w:szCs w:val="24"/>
        </w:rPr>
        <w:t>和池塘</w:t>
      </w:r>
      <w:r>
        <w:rPr>
          <w:sz w:val="24"/>
          <w:szCs w:val="24"/>
        </w:rPr>
        <w:t>。</w:t>
      </w:r>
      <w:r>
        <w:rPr>
          <w:rFonts w:hint="eastAsia"/>
          <w:sz w:val="24"/>
          <w:szCs w:val="24"/>
        </w:rPr>
        <w:t>周边地块</w:t>
      </w:r>
      <w:r>
        <w:rPr>
          <w:sz w:val="24"/>
          <w:szCs w:val="24"/>
        </w:rPr>
        <w:t>100m</w:t>
      </w:r>
      <w:r>
        <w:rPr>
          <w:rFonts w:hint="eastAsia"/>
          <w:sz w:val="24"/>
          <w:szCs w:val="24"/>
        </w:rPr>
        <w:t>范围内无</w:t>
      </w:r>
      <w:r>
        <w:rPr>
          <w:sz w:val="24"/>
          <w:szCs w:val="24"/>
        </w:rPr>
        <w:t>工业企业</w:t>
      </w:r>
      <w:r>
        <w:rPr>
          <w:rFonts w:hint="eastAsia"/>
          <w:sz w:val="24"/>
          <w:szCs w:val="24"/>
        </w:rPr>
        <w:t>1km范围内无重污染工业企业</w:t>
      </w:r>
      <w:r>
        <w:rPr>
          <w:sz w:val="24"/>
          <w:szCs w:val="24"/>
        </w:rPr>
        <w:t>。</w:t>
      </w:r>
    </w:p>
    <w:p>
      <w:pPr>
        <w:spacing w:line="440" w:lineRule="exact"/>
        <w:ind w:firstLine="480" w:firstLineChars="200"/>
        <w:rPr>
          <w:sz w:val="24"/>
          <w:szCs w:val="24"/>
        </w:rPr>
      </w:pPr>
      <w:r>
        <w:rPr>
          <w:sz w:val="24"/>
          <w:szCs w:val="24"/>
        </w:rPr>
        <w:t>因此，地块周边环境对本地块土壤和地下水基本无影响。</w:t>
      </w:r>
    </w:p>
    <w:p>
      <w:pPr>
        <w:pStyle w:val="116"/>
        <w:rPr>
          <w:rFonts w:ascii="Times New Roman" w:hAnsi="Times New Roman" w:eastAsia="宋体"/>
          <w:szCs w:val="28"/>
        </w:rPr>
      </w:pPr>
      <w:bookmarkStart w:id="66" w:name="_Toc149641999"/>
      <w:r>
        <w:rPr>
          <w:rFonts w:ascii="Times New Roman" w:hAnsi="Times New Roman" w:eastAsia="宋体"/>
          <w:szCs w:val="28"/>
        </w:rPr>
        <w:t>5.8 其它</w:t>
      </w:r>
      <w:bookmarkEnd w:id="66"/>
    </w:p>
    <w:p>
      <w:pPr>
        <w:spacing w:line="440" w:lineRule="exact"/>
        <w:ind w:firstLine="480" w:firstLineChars="200"/>
        <w:rPr>
          <w:sz w:val="24"/>
          <w:szCs w:val="24"/>
        </w:rPr>
      </w:pPr>
      <w:r>
        <w:rPr>
          <w:sz w:val="24"/>
          <w:szCs w:val="24"/>
        </w:rPr>
        <w:t>根据人员访谈情况，地块内及地块周边历史使用阶段中，没有环境违法事件、环境污染事故和投诉事件发生。</w:t>
      </w:r>
      <w:r>
        <w:rPr>
          <w:rFonts w:hint="eastAsia"/>
          <w:sz w:val="24"/>
          <w:szCs w:val="24"/>
        </w:rPr>
        <w:t>地块内及相邻地块的农田以种植水稻为主，耕地种植以种植蔬菜为主，农田和耕地使用的肥料以有机肥为主，少量使用常规农药。</w:t>
      </w:r>
    </w:p>
    <w:p>
      <w:pPr>
        <w:pStyle w:val="3"/>
        <w:spacing w:before="0" w:after="0" w:line="440" w:lineRule="exact"/>
        <w:jc w:val="left"/>
        <w:rPr>
          <w:rFonts w:ascii="Times New Roman" w:hAnsi="Times New Roman"/>
          <w:bCs w:val="0"/>
          <w:kern w:val="2"/>
          <w:sz w:val="32"/>
          <w:szCs w:val="32"/>
        </w:rPr>
        <w:sectPr>
          <w:pgSz w:w="11906" w:h="16838"/>
          <w:pgMar w:top="1418" w:right="1418" w:bottom="1418" w:left="1418" w:header="850" w:footer="850" w:gutter="0"/>
          <w:pgNumType w:fmt="numberInDash"/>
          <w:cols w:space="720" w:num="1"/>
          <w:docGrid w:type="lines" w:linePitch="312" w:charSpace="0"/>
        </w:sectPr>
      </w:pPr>
    </w:p>
    <w:p>
      <w:pPr>
        <w:pStyle w:val="3"/>
        <w:spacing w:before="0" w:after="0" w:line="440" w:lineRule="exact"/>
        <w:jc w:val="left"/>
        <w:rPr>
          <w:rFonts w:ascii="Times New Roman" w:hAnsi="Times New Roman"/>
          <w:bCs w:val="0"/>
          <w:kern w:val="2"/>
          <w:sz w:val="32"/>
          <w:szCs w:val="32"/>
        </w:rPr>
      </w:pPr>
      <w:bookmarkStart w:id="67" w:name="_Toc149642000"/>
      <w:r>
        <w:rPr>
          <w:rFonts w:ascii="Times New Roman" w:hAnsi="Times New Roman"/>
          <w:bCs w:val="0"/>
          <w:kern w:val="2"/>
          <w:sz w:val="32"/>
          <w:szCs w:val="32"/>
        </w:rPr>
        <w:t>6 结果和分析</w:t>
      </w:r>
      <w:bookmarkEnd w:id="67"/>
    </w:p>
    <w:p>
      <w:pPr>
        <w:pStyle w:val="116"/>
        <w:rPr>
          <w:rFonts w:ascii="Times New Roman" w:hAnsi="Times New Roman" w:eastAsia="宋体"/>
          <w:szCs w:val="28"/>
        </w:rPr>
      </w:pPr>
      <w:bookmarkStart w:id="68" w:name="_Toc149642001"/>
      <w:r>
        <w:rPr>
          <w:rFonts w:ascii="Times New Roman" w:hAnsi="Times New Roman" w:eastAsia="宋体"/>
          <w:szCs w:val="28"/>
        </w:rPr>
        <w:t>6.1 资料收集、现场踏勘和人员访谈一致性分析</w:t>
      </w:r>
      <w:bookmarkEnd w:id="68"/>
    </w:p>
    <w:p>
      <w:pPr>
        <w:snapToGrid w:val="0"/>
        <w:spacing w:line="460" w:lineRule="exact"/>
        <w:ind w:firstLine="480" w:firstLineChars="200"/>
        <w:rPr>
          <w:snapToGrid w:val="0"/>
          <w:sz w:val="24"/>
        </w:rPr>
      </w:pPr>
      <w:r>
        <w:rPr>
          <w:snapToGrid w:val="0"/>
          <w:sz w:val="24"/>
        </w:rPr>
        <w:t>本地块调查过程中资料收集、现场踏勘和人员访谈得到的信息总体上相互验证、相互补充，有较高的一致性，为了解本地块及相邻地块土壤污染状况提供了有效的信息，具体见表6.1-1。</w:t>
      </w:r>
    </w:p>
    <w:p>
      <w:pPr>
        <w:spacing w:line="460" w:lineRule="exact"/>
        <w:jc w:val="center"/>
        <w:rPr>
          <w:b/>
          <w:sz w:val="24"/>
          <w:szCs w:val="24"/>
        </w:rPr>
      </w:pPr>
      <w:r>
        <w:rPr>
          <w:b/>
          <w:sz w:val="24"/>
          <w:szCs w:val="24"/>
        </w:rPr>
        <w:t>表6.1-1  信息一致性分析一览表</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
        <w:gridCol w:w="2409"/>
        <w:gridCol w:w="1133"/>
        <w:gridCol w:w="1985"/>
        <w:gridCol w:w="2128"/>
        <w:gridCol w:w="1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8" w:type="pct"/>
            <w:vAlign w:val="center"/>
          </w:tcPr>
          <w:p>
            <w:pPr>
              <w:adjustRightInd w:val="0"/>
              <w:snapToGrid w:val="0"/>
              <w:jc w:val="center"/>
              <w:textAlignment w:val="center"/>
              <w:rPr>
                <w:b/>
                <w:sz w:val="21"/>
                <w:szCs w:val="21"/>
              </w:rPr>
            </w:pPr>
            <w:r>
              <w:rPr>
                <w:b/>
                <w:sz w:val="21"/>
                <w:szCs w:val="21"/>
              </w:rPr>
              <w:t>序号</w:t>
            </w:r>
          </w:p>
        </w:tc>
        <w:tc>
          <w:tcPr>
            <w:tcW w:w="1297" w:type="pct"/>
            <w:vAlign w:val="center"/>
          </w:tcPr>
          <w:p>
            <w:pPr>
              <w:adjustRightInd w:val="0"/>
              <w:snapToGrid w:val="0"/>
              <w:jc w:val="center"/>
              <w:textAlignment w:val="center"/>
              <w:rPr>
                <w:b/>
                <w:sz w:val="21"/>
                <w:szCs w:val="21"/>
              </w:rPr>
            </w:pPr>
            <w:r>
              <w:rPr>
                <w:b/>
                <w:sz w:val="21"/>
                <w:szCs w:val="21"/>
              </w:rPr>
              <w:t>关键信息</w:t>
            </w:r>
          </w:p>
        </w:tc>
        <w:tc>
          <w:tcPr>
            <w:tcW w:w="610" w:type="pct"/>
            <w:vAlign w:val="center"/>
          </w:tcPr>
          <w:p>
            <w:pPr>
              <w:adjustRightInd w:val="0"/>
              <w:snapToGrid w:val="0"/>
              <w:jc w:val="center"/>
              <w:textAlignment w:val="center"/>
              <w:rPr>
                <w:b/>
                <w:sz w:val="21"/>
                <w:szCs w:val="21"/>
              </w:rPr>
            </w:pPr>
            <w:r>
              <w:rPr>
                <w:b/>
                <w:sz w:val="21"/>
                <w:szCs w:val="21"/>
              </w:rPr>
              <w:t>资料收集</w:t>
            </w:r>
          </w:p>
        </w:tc>
        <w:tc>
          <w:tcPr>
            <w:tcW w:w="1069" w:type="pct"/>
            <w:vAlign w:val="center"/>
          </w:tcPr>
          <w:p>
            <w:pPr>
              <w:adjustRightInd w:val="0"/>
              <w:snapToGrid w:val="0"/>
              <w:jc w:val="center"/>
              <w:textAlignment w:val="center"/>
              <w:rPr>
                <w:b/>
                <w:sz w:val="21"/>
                <w:szCs w:val="21"/>
              </w:rPr>
            </w:pPr>
            <w:r>
              <w:rPr>
                <w:b/>
                <w:sz w:val="21"/>
                <w:szCs w:val="21"/>
              </w:rPr>
              <w:t>现场踏勘</w:t>
            </w:r>
          </w:p>
        </w:tc>
        <w:tc>
          <w:tcPr>
            <w:tcW w:w="1146" w:type="pct"/>
            <w:vAlign w:val="center"/>
          </w:tcPr>
          <w:p>
            <w:pPr>
              <w:adjustRightInd w:val="0"/>
              <w:snapToGrid w:val="0"/>
              <w:jc w:val="center"/>
              <w:textAlignment w:val="center"/>
              <w:rPr>
                <w:b/>
                <w:sz w:val="21"/>
                <w:szCs w:val="21"/>
              </w:rPr>
            </w:pPr>
            <w:r>
              <w:rPr>
                <w:b/>
                <w:sz w:val="21"/>
                <w:szCs w:val="21"/>
              </w:rPr>
              <w:t>人员访谈</w:t>
            </w:r>
          </w:p>
        </w:tc>
        <w:tc>
          <w:tcPr>
            <w:tcW w:w="590" w:type="pct"/>
            <w:vAlign w:val="center"/>
          </w:tcPr>
          <w:p>
            <w:pPr>
              <w:adjustRightInd w:val="0"/>
              <w:snapToGrid w:val="0"/>
              <w:jc w:val="center"/>
              <w:textAlignment w:val="center"/>
              <w:rPr>
                <w:b/>
                <w:sz w:val="21"/>
                <w:szCs w:val="21"/>
              </w:rPr>
            </w:pPr>
            <w:r>
              <w:rPr>
                <w:b/>
                <w:sz w:val="21"/>
                <w:szCs w:val="21"/>
              </w:rPr>
              <w:t>结论一致性分析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8" w:type="pct"/>
            <w:vAlign w:val="center"/>
          </w:tcPr>
          <w:p>
            <w:pPr>
              <w:adjustRightInd w:val="0"/>
              <w:snapToGrid w:val="0"/>
              <w:jc w:val="center"/>
              <w:textAlignment w:val="center"/>
              <w:rPr>
                <w:sz w:val="21"/>
                <w:szCs w:val="21"/>
              </w:rPr>
            </w:pPr>
            <w:r>
              <w:rPr>
                <w:sz w:val="21"/>
                <w:szCs w:val="21"/>
              </w:rPr>
              <w:t>1</w:t>
            </w:r>
          </w:p>
        </w:tc>
        <w:tc>
          <w:tcPr>
            <w:tcW w:w="1297" w:type="pct"/>
            <w:vAlign w:val="center"/>
          </w:tcPr>
          <w:p>
            <w:pPr>
              <w:adjustRightInd w:val="0"/>
              <w:snapToGrid w:val="0"/>
              <w:jc w:val="center"/>
              <w:textAlignment w:val="center"/>
              <w:rPr>
                <w:sz w:val="21"/>
                <w:szCs w:val="21"/>
              </w:rPr>
            </w:pPr>
            <w:r>
              <w:rPr>
                <w:sz w:val="21"/>
                <w:szCs w:val="21"/>
              </w:rPr>
              <w:t>历史用途及变迁</w:t>
            </w:r>
          </w:p>
        </w:tc>
        <w:tc>
          <w:tcPr>
            <w:tcW w:w="610" w:type="pct"/>
            <w:vAlign w:val="center"/>
          </w:tcPr>
          <w:p>
            <w:pPr>
              <w:adjustRightInd w:val="0"/>
              <w:snapToGrid w:val="0"/>
              <w:jc w:val="center"/>
              <w:textAlignment w:val="center"/>
              <w:rPr>
                <w:sz w:val="21"/>
                <w:szCs w:val="21"/>
              </w:rPr>
            </w:pPr>
            <w:r>
              <w:rPr>
                <w:sz w:val="21"/>
                <w:szCs w:val="21"/>
              </w:rPr>
              <w:t>/</w:t>
            </w:r>
          </w:p>
        </w:tc>
        <w:tc>
          <w:tcPr>
            <w:tcW w:w="1069" w:type="pct"/>
            <w:vAlign w:val="center"/>
          </w:tcPr>
          <w:p>
            <w:pPr>
              <w:adjustRightInd w:val="0"/>
              <w:snapToGrid w:val="0"/>
              <w:jc w:val="center"/>
              <w:textAlignment w:val="center"/>
              <w:rPr>
                <w:sz w:val="21"/>
                <w:szCs w:val="21"/>
              </w:rPr>
            </w:pPr>
            <w:r>
              <w:rPr>
                <w:rFonts w:hint="eastAsia"/>
                <w:sz w:val="21"/>
                <w:szCs w:val="21"/>
              </w:rPr>
              <w:t>目前地块内已开展施工平整，部分表层土已被开挖</w:t>
            </w:r>
            <w:r>
              <w:rPr>
                <w:sz w:val="21"/>
                <w:szCs w:val="21"/>
              </w:rPr>
              <w:t>，未发现固体废物填埋、未发现土壤和地下水污染迹象，无异常气味。</w:t>
            </w:r>
          </w:p>
        </w:tc>
        <w:tc>
          <w:tcPr>
            <w:tcW w:w="1146" w:type="pct"/>
            <w:vAlign w:val="center"/>
          </w:tcPr>
          <w:p>
            <w:pPr>
              <w:adjustRightInd w:val="0"/>
              <w:snapToGrid w:val="0"/>
              <w:jc w:val="center"/>
              <w:textAlignment w:val="center"/>
              <w:rPr>
                <w:sz w:val="21"/>
                <w:szCs w:val="21"/>
              </w:rPr>
            </w:pPr>
            <w:r>
              <w:rPr>
                <w:sz w:val="21"/>
                <w:szCs w:val="21"/>
              </w:rPr>
              <w:t>地块历史上是耕地、荒地</w:t>
            </w:r>
            <w:r>
              <w:rPr>
                <w:rFonts w:hint="eastAsia"/>
                <w:sz w:val="21"/>
                <w:szCs w:val="21"/>
              </w:rPr>
              <w:t>和池塘</w:t>
            </w:r>
            <w:r>
              <w:rPr>
                <w:sz w:val="21"/>
                <w:szCs w:val="21"/>
              </w:rPr>
              <w:t>，未曾涉及工矿企业用途、规模化畜禽养殖、有毒有害物质贮存或输送。</w:t>
            </w:r>
          </w:p>
        </w:tc>
        <w:tc>
          <w:tcPr>
            <w:tcW w:w="590" w:type="pct"/>
            <w:vAlign w:val="center"/>
          </w:tcPr>
          <w:p>
            <w:pPr>
              <w:adjustRightInd w:val="0"/>
              <w:snapToGrid w:val="0"/>
              <w:jc w:val="center"/>
              <w:textAlignment w:val="center"/>
              <w:rPr>
                <w:sz w:val="21"/>
                <w:szCs w:val="21"/>
              </w:rPr>
            </w:pPr>
            <w:r>
              <w:rPr>
                <w:sz w:val="21"/>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8" w:type="pct"/>
            <w:vAlign w:val="center"/>
          </w:tcPr>
          <w:p>
            <w:pPr>
              <w:adjustRightInd w:val="0"/>
              <w:snapToGrid w:val="0"/>
              <w:jc w:val="center"/>
              <w:textAlignment w:val="center"/>
              <w:rPr>
                <w:sz w:val="21"/>
                <w:szCs w:val="21"/>
              </w:rPr>
            </w:pPr>
            <w:r>
              <w:rPr>
                <w:sz w:val="21"/>
                <w:szCs w:val="21"/>
              </w:rPr>
              <w:t>2</w:t>
            </w:r>
          </w:p>
        </w:tc>
        <w:tc>
          <w:tcPr>
            <w:tcW w:w="1297" w:type="pct"/>
            <w:vAlign w:val="center"/>
          </w:tcPr>
          <w:p>
            <w:pPr>
              <w:adjustRightInd w:val="0"/>
              <w:snapToGrid w:val="0"/>
              <w:jc w:val="center"/>
              <w:textAlignment w:val="center"/>
              <w:rPr>
                <w:sz w:val="21"/>
                <w:szCs w:val="21"/>
              </w:rPr>
            </w:pPr>
            <w:r>
              <w:rPr>
                <w:sz w:val="21"/>
                <w:szCs w:val="21"/>
              </w:rPr>
              <w:t>工业固体废物堆放场所存在情况</w:t>
            </w:r>
          </w:p>
        </w:tc>
        <w:tc>
          <w:tcPr>
            <w:tcW w:w="610" w:type="pct"/>
            <w:vAlign w:val="center"/>
          </w:tcPr>
          <w:p>
            <w:pPr>
              <w:adjustRightInd w:val="0"/>
              <w:snapToGrid w:val="0"/>
              <w:jc w:val="center"/>
              <w:textAlignment w:val="center"/>
              <w:rPr>
                <w:sz w:val="21"/>
                <w:szCs w:val="21"/>
              </w:rPr>
            </w:pPr>
            <w:r>
              <w:rPr>
                <w:sz w:val="21"/>
                <w:szCs w:val="21"/>
              </w:rPr>
              <w:t>不存在</w:t>
            </w:r>
          </w:p>
        </w:tc>
        <w:tc>
          <w:tcPr>
            <w:tcW w:w="1069" w:type="pct"/>
            <w:vAlign w:val="center"/>
          </w:tcPr>
          <w:p>
            <w:pPr>
              <w:adjustRightInd w:val="0"/>
              <w:snapToGrid w:val="0"/>
              <w:jc w:val="center"/>
              <w:textAlignment w:val="center"/>
              <w:rPr>
                <w:sz w:val="21"/>
                <w:szCs w:val="21"/>
              </w:rPr>
            </w:pPr>
            <w:r>
              <w:rPr>
                <w:sz w:val="21"/>
                <w:szCs w:val="21"/>
              </w:rPr>
              <w:t>不存在</w:t>
            </w:r>
          </w:p>
        </w:tc>
        <w:tc>
          <w:tcPr>
            <w:tcW w:w="1146" w:type="pct"/>
            <w:vAlign w:val="center"/>
          </w:tcPr>
          <w:p>
            <w:pPr>
              <w:adjustRightInd w:val="0"/>
              <w:snapToGrid w:val="0"/>
              <w:jc w:val="center"/>
              <w:textAlignment w:val="center"/>
              <w:rPr>
                <w:sz w:val="21"/>
                <w:szCs w:val="21"/>
              </w:rPr>
            </w:pPr>
            <w:r>
              <w:rPr>
                <w:sz w:val="21"/>
                <w:szCs w:val="21"/>
              </w:rPr>
              <w:t>不存在</w:t>
            </w:r>
          </w:p>
        </w:tc>
        <w:tc>
          <w:tcPr>
            <w:tcW w:w="590" w:type="pct"/>
            <w:vAlign w:val="center"/>
          </w:tcPr>
          <w:p>
            <w:pPr>
              <w:adjustRightInd w:val="0"/>
              <w:snapToGrid w:val="0"/>
              <w:jc w:val="center"/>
              <w:textAlignment w:val="center"/>
              <w:rPr>
                <w:sz w:val="21"/>
                <w:szCs w:val="21"/>
              </w:rPr>
            </w:pPr>
            <w:r>
              <w:rPr>
                <w:sz w:val="21"/>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8" w:type="pct"/>
            <w:vAlign w:val="center"/>
          </w:tcPr>
          <w:p>
            <w:pPr>
              <w:adjustRightInd w:val="0"/>
              <w:snapToGrid w:val="0"/>
              <w:jc w:val="center"/>
              <w:textAlignment w:val="center"/>
              <w:rPr>
                <w:sz w:val="21"/>
                <w:szCs w:val="21"/>
              </w:rPr>
            </w:pPr>
            <w:r>
              <w:rPr>
                <w:sz w:val="21"/>
                <w:szCs w:val="21"/>
              </w:rPr>
              <w:t>3</w:t>
            </w:r>
          </w:p>
        </w:tc>
        <w:tc>
          <w:tcPr>
            <w:tcW w:w="1297" w:type="pct"/>
            <w:vAlign w:val="center"/>
          </w:tcPr>
          <w:p>
            <w:pPr>
              <w:adjustRightInd w:val="0"/>
              <w:snapToGrid w:val="0"/>
              <w:jc w:val="center"/>
              <w:textAlignment w:val="center"/>
              <w:rPr>
                <w:sz w:val="21"/>
                <w:szCs w:val="21"/>
              </w:rPr>
            </w:pPr>
            <w:r>
              <w:rPr>
                <w:sz w:val="21"/>
                <w:szCs w:val="21"/>
              </w:rPr>
              <w:t>工业废水排放沟渠或渗坑存在情况</w:t>
            </w:r>
          </w:p>
        </w:tc>
        <w:tc>
          <w:tcPr>
            <w:tcW w:w="610" w:type="pct"/>
            <w:vAlign w:val="center"/>
          </w:tcPr>
          <w:p>
            <w:pPr>
              <w:adjustRightInd w:val="0"/>
              <w:snapToGrid w:val="0"/>
              <w:jc w:val="center"/>
              <w:textAlignment w:val="center"/>
              <w:rPr>
                <w:sz w:val="21"/>
                <w:szCs w:val="21"/>
              </w:rPr>
            </w:pPr>
            <w:r>
              <w:rPr>
                <w:sz w:val="21"/>
                <w:szCs w:val="21"/>
              </w:rPr>
              <w:t>不存在</w:t>
            </w:r>
          </w:p>
        </w:tc>
        <w:tc>
          <w:tcPr>
            <w:tcW w:w="1069" w:type="pct"/>
            <w:vAlign w:val="center"/>
          </w:tcPr>
          <w:p>
            <w:pPr>
              <w:adjustRightInd w:val="0"/>
              <w:snapToGrid w:val="0"/>
              <w:jc w:val="center"/>
              <w:textAlignment w:val="center"/>
              <w:rPr>
                <w:sz w:val="21"/>
                <w:szCs w:val="21"/>
              </w:rPr>
            </w:pPr>
            <w:r>
              <w:rPr>
                <w:sz w:val="21"/>
                <w:szCs w:val="21"/>
              </w:rPr>
              <w:t>不存在</w:t>
            </w:r>
          </w:p>
        </w:tc>
        <w:tc>
          <w:tcPr>
            <w:tcW w:w="1146" w:type="pct"/>
            <w:vAlign w:val="center"/>
          </w:tcPr>
          <w:p>
            <w:pPr>
              <w:adjustRightInd w:val="0"/>
              <w:snapToGrid w:val="0"/>
              <w:jc w:val="center"/>
              <w:textAlignment w:val="center"/>
              <w:rPr>
                <w:sz w:val="21"/>
                <w:szCs w:val="21"/>
              </w:rPr>
            </w:pPr>
            <w:r>
              <w:rPr>
                <w:sz w:val="21"/>
                <w:szCs w:val="21"/>
              </w:rPr>
              <w:t>不存在</w:t>
            </w:r>
          </w:p>
        </w:tc>
        <w:tc>
          <w:tcPr>
            <w:tcW w:w="590" w:type="pct"/>
            <w:vAlign w:val="center"/>
          </w:tcPr>
          <w:p>
            <w:pPr>
              <w:adjustRightInd w:val="0"/>
              <w:snapToGrid w:val="0"/>
              <w:jc w:val="center"/>
              <w:textAlignment w:val="center"/>
              <w:rPr>
                <w:sz w:val="21"/>
                <w:szCs w:val="21"/>
              </w:rPr>
            </w:pPr>
            <w:r>
              <w:rPr>
                <w:sz w:val="21"/>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8" w:type="pct"/>
            <w:vAlign w:val="center"/>
          </w:tcPr>
          <w:p>
            <w:pPr>
              <w:adjustRightInd w:val="0"/>
              <w:snapToGrid w:val="0"/>
              <w:jc w:val="center"/>
              <w:textAlignment w:val="center"/>
              <w:rPr>
                <w:sz w:val="21"/>
                <w:szCs w:val="21"/>
              </w:rPr>
            </w:pPr>
            <w:r>
              <w:rPr>
                <w:sz w:val="21"/>
                <w:szCs w:val="21"/>
              </w:rPr>
              <w:t>4</w:t>
            </w:r>
          </w:p>
        </w:tc>
        <w:tc>
          <w:tcPr>
            <w:tcW w:w="1297" w:type="pct"/>
            <w:vAlign w:val="center"/>
          </w:tcPr>
          <w:p>
            <w:pPr>
              <w:adjustRightInd w:val="0"/>
              <w:snapToGrid w:val="0"/>
              <w:jc w:val="center"/>
              <w:textAlignment w:val="center"/>
              <w:rPr>
                <w:sz w:val="21"/>
                <w:szCs w:val="21"/>
              </w:rPr>
            </w:pPr>
            <w:r>
              <w:rPr>
                <w:sz w:val="21"/>
                <w:szCs w:val="21"/>
              </w:rPr>
              <w:t>产品、原辅材料、油品等地下储罐或地下输送的管存在情况道</w:t>
            </w:r>
          </w:p>
        </w:tc>
        <w:tc>
          <w:tcPr>
            <w:tcW w:w="610" w:type="pct"/>
            <w:vAlign w:val="center"/>
          </w:tcPr>
          <w:p>
            <w:pPr>
              <w:adjustRightInd w:val="0"/>
              <w:snapToGrid w:val="0"/>
              <w:jc w:val="center"/>
              <w:textAlignment w:val="center"/>
              <w:rPr>
                <w:sz w:val="21"/>
                <w:szCs w:val="21"/>
              </w:rPr>
            </w:pPr>
            <w:r>
              <w:rPr>
                <w:sz w:val="21"/>
                <w:szCs w:val="21"/>
              </w:rPr>
              <w:t>不存在</w:t>
            </w:r>
          </w:p>
        </w:tc>
        <w:tc>
          <w:tcPr>
            <w:tcW w:w="1069" w:type="pct"/>
            <w:vAlign w:val="center"/>
          </w:tcPr>
          <w:p>
            <w:pPr>
              <w:adjustRightInd w:val="0"/>
              <w:snapToGrid w:val="0"/>
              <w:jc w:val="center"/>
              <w:textAlignment w:val="center"/>
              <w:rPr>
                <w:sz w:val="21"/>
                <w:szCs w:val="21"/>
              </w:rPr>
            </w:pPr>
            <w:r>
              <w:rPr>
                <w:sz w:val="21"/>
                <w:szCs w:val="21"/>
              </w:rPr>
              <w:t>不存在</w:t>
            </w:r>
          </w:p>
        </w:tc>
        <w:tc>
          <w:tcPr>
            <w:tcW w:w="1146" w:type="pct"/>
            <w:vAlign w:val="center"/>
          </w:tcPr>
          <w:p>
            <w:pPr>
              <w:adjustRightInd w:val="0"/>
              <w:snapToGrid w:val="0"/>
              <w:jc w:val="center"/>
              <w:textAlignment w:val="center"/>
              <w:rPr>
                <w:sz w:val="21"/>
                <w:szCs w:val="21"/>
              </w:rPr>
            </w:pPr>
            <w:r>
              <w:rPr>
                <w:sz w:val="21"/>
                <w:szCs w:val="21"/>
              </w:rPr>
              <w:t>不存在</w:t>
            </w:r>
          </w:p>
        </w:tc>
        <w:tc>
          <w:tcPr>
            <w:tcW w:w="590" w:type="pct"/>
            <w:vAlign w:val="center"/>
          </w:tcPr>
          <w:p>
            <w:pPr>
              <w:adjustRightInd w:val="0"/>
              <w:snapToGrid w:val="0"/>
              <w:jc w:val="center"/>
              <w:textAlignment w:val="center"/>
              <w:rPr>
                <w:sz w:val="21"/>
                <w:szCs w:val="21"/>
              </w:rPr>
            </w:pPr>
            <w:r>
              <w:rPr>
                <w:sz w:val="21"/>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8" w:type="pct"/>
            <w:vAlign w:val="center"/>
          </w:tcPr>
          <w:p>
            <w:pPr>
              <w:adjustRightInd w:val="0"/>
              <w:snapToGrid w:val="0"/>
              <w:jc w:val="center"/>
              <w:textAlignment w:val="center"/>
              <w:rPr>
                <w:sz w:val="21"/>
                <w:szCs w:val="21"/>
              </w:rPr>
            </w:pPr>
            <w:r>
              <w:rPr>
                <w:sz w:val="21"/>
                <w:szCs w:val="21"/>
              </w:rPr>
              <w:t>5</w:t>
            </w:r>
          </w:p>
        </w:tc>
        <w:tc>
          <w:tcPr>
            <w:tcW w:w="1297" w:type="pct"/>
            <w:vAlign w:val="center"/>
          </w:tcPr>
          <w:p>
            <w:pPr>
              <w:adjustRightInd w:val="0"/>
              <w:snapToGrid w:val="0"/>
              <w:jc w:val="center"/>
              <w:textAlignment w:val="center"/>
              <w:rPr>
                <w:sz w:val="21"/>
                <w:szCs w:val="21"/>
              </w:rPr>
            </w:pPr>
            <w:r>
              <w:rPr>
                <w:sz w:val="21"/>
                <w:szCs w:val="21"/>
              </w:rPr>
              <w:t>工业废水的地下输送管道或储存池存在情况</w:t>
            </w:r>
          </w:p>
        </w:tc>
        <w:tc>
          <w:tcPr>
            <w:tcW w:w="610" w:type="pct"/>
            <w:vAlign w:val="center"/>
          </w:tcPr>
          <w:p>
            <w:pPr>
              <w:adjustRightInd w:val="0"/>
              <w:snapToGrid w:val="0"/>
              <w:jc w:val="center"/>
              <w:textAlignment w:val="center"/>
              <w:rPr>
                <w:sz w:val="21"/>
                <w:szCs w:val="21"/>
              </w:rPr>
            </w:pPr>
            <w:r>
              <w:rPr>
                <w:sz w:val="21"/>
                <w:szCs w:val="21"/>
              </w:rPr>
              <w:t>不存在</w:t>
            </w:r>
          </w:p>
        </w:tc>
        <w:tc>
          <w:tcPr>
            <w:tcW w:w="1069" w:type="pct"/>
            <w:vAlign w:val="center"/>
          </w:tcPr>
          <w:p>
            <w:pPr>
              <w:adjustRightInd w:val="0"/>
              <w:snapToGrid w:val="0"/>
              <w:jc w:val="center"/>
              <w:textAlignment w:val="center"/>
              <w:rPr>
                <w:sz w:val="21"/>
                <w:szCs w:val="21"/>
              </w:rPr>
            </w:pPr>
            <w:r>
              <w:rPr>
                <w:sz w:val="21"/>
                <w:szCs w:val="21"/>
              </w:rPr>
              <w:t>不存在</w:t>
            </w:r>
          </w:p>
        </w:tc>
        <w:tc>
          <w:tcPr>
            <w:tcW w:w="1146" w:type="pct"/>
            <w:vAlign w:val="center"/>
          </w:tcPr>
          <w:p>
            <w:pPr>
              <w:adjustRightInd w:val="0"/>
              <w:snapToGrid w:val="0"/>
              <w:jc w:val="center"/>
              <w:textAlignment w:val="center"/>
              <w:rPr>
                <w:sz w:val="21"/>
                <w:szCs w:val="21"/>
              </w:rPr>
            </w:pPr>
            <w:r>
              <w:rPr>
                <w:sz w:val="21"/>
                <w:szCs w:val="21"/>
              </w:rPr>
              <w:t>不存在</w:t>
            </w:r>
          </w:p>
        </w:tc>
        <w:tc>
          <w:tcPr>
            <w:tcW w:w="590" w:type="pct"/>
            <w:vAlign w:val="center"/>
          </w:tcPr>
          <w:p>
            <w:pPr>
              <w:adjustRightInd w:val="0"/>
              <w:snapToGrid w:val="0"/>
              <w:jc w:val="center"/>
              <w:textAlignment w:val="center"/>
              <w:rPr>
                <w:sz w:val="21"/>
                <w:szCs w:val="21"/>
              </w:rPr>
            </w:pPr>
            <w:r>
              <w:rPr>
                <w:sz w:val="21"/>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8" w:type="pct"/>
            <w:vAlign w:val="center"/>
          </w:tcPr>
          <w:p>
            <w:pPr>
              <w:adjustRightInd w:val="0"/>
              <w:snapToGrid w:val="0"/>
              <w:jc w:val="center"/>
              <w:textAlignment w:val="center"/>
              <w:rPr>
                <w:sz w:val="21"/>
                <w:szCs w:val="21"/>
              </w:rPr>
            </w:pPr>
            <w:r>
              <w:rPr>
                <w:sz w:val="21"/>
                <w:szCs w:val="21"/>
              </w:rPr>
              <w:t>6</w:t>
            </w:r>
          </w:p>
        </w:tc>
        <w:tc>
          <w:tcPr>
            <w:tcW w:w="1297" w:type="pct"/>
            <w:vAlign w:val="center"/>
          </w:tcPr>
          <w:p>
            <w:pPr>
              <w:adjustRightInd w:val="0"/>
              <w:snapToGrid w:val="0"/>
              <w:jc w:val="center"/>
              <w:textAlignment w:val="center"/>
              <w:rPr>
                <w:sz w:val="21"/>
                <w:szCs w:val="21"/>
              </w:rPr>
            </w:pPr>
            <w:r>
              <w:rPr>
                <w:sz w:val="21"/>
                <w:szCs w:val="21"/>
              </w:rPr>
              <w:t>化学品泄露事故</w:t>
            </w:r>
          </w:p>
        </w:tc>
        <w:tc>
          <w:tcPr>
            <w:tcW w:w="610" w:type="pct"/>
            <w:vAlign w:val="center"/>
          </w:tcPr>
          <w:p>
            <w:pPr>
              <w:adjustRightInd w:val="0"/>
              <w:snapToGrid w:val="0"/>
              <w:jc w:val="center"/>
              <w:textAlignment w:val="center"/>
              <w:rPr>
                <w:sz w:val="21"/>
                <w:szCs w:val="21"/>
              </w:rPr>
            </w:pPr>
            <w:r>
              <w:rPr>
                <w:sz w:val="21"/>
                <w:szCs w:val="21"/>
              </w:rPr>
              <w:t>不存在</w:t>
            </w:r>
          </w:p>
        </w:tc>
        <w:tc>
          <w:tcPr>
            <w:tcW w:w="1069" w:type="pct"/>
            <w:vAlign w:val="center"/>
          </w:tcPr>
          <w:p>
            <w:pPr>
              <w:adjustRightInd w:val="0"/>
              <w:snapToGrid w:val="0"/>
              <w:jc w:val="center"/>
              <w:textAlignment w:val="center"/>
              <w:rPr>
                <w:sz w:val="21"/>
                <w:szCs w:val="21"/>
              </w:rPr>
            </w:pPr>
            <w:r>
              <w:rPr>
                <w:sz w:val="21"/>
                <w:szCs w:val="21"/>
              </w:rPr>
              <w:t>不存在</w:t>
            </w:r>
          </w:p>
        </w:tc>
        <w:tc>
          <w:tcPr>
            <w:tcW w:w="1146" w:type="pct"/>
            <w:vAlign w:val="center"/>
          </w:tcPr>
          <w:p>
            <w:pPr>
              <w:adjustRightInd w:val="0"/>
              <w:snapToGrid w:val="0"/>
              <w:jc w:val="center"/>
              <w:textAlignment w:val="center"/>
              <w:rPr>
                <w:sz w:val="21"/>
                <w:szCs w:val="21"/>
              </w:rPr>
            </w:pPr>
            <w:r>
              <w:rPr>
                <w:sz w:val="21"/>
                <w:szCs w:val="21"/>
              </w:rPr>
              <w:t>不存在</w:t>
            </w:r>
          </w:p>
        </w:tc>
        <w:tc>
          <w:tcPr>
            <w:tcW w:w="590" w:type="pct"/>
            <w:vAlign w:val="center"/>
          </w:tcPr>
          <w:p>
            <w:pPr>
              <w:adjustRightInd w:val="0"/>
              <w:snapToGrid w:val="0"/>
              <w:jc w:val="center"/>
              <w:textAlignment w:val="center"/>
              <w:rPr>
                <w:sz w:val="21"/>
                <w:szCs w:val="21"/>
              </w:rPr>
            </w:pPr>
            <w:r>
              <w:rPr>
                <w:sz w:val="21"/>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8" w:type="pct"/>
            <w:vAlign w:val="center"/>
          </w:tcPr>
          <w:p>
            <w:pPr>
              <w:adjustRightInd w:val="0"/>
              <w:snapToGrid w:val="0"/>
              <w:jc w:val="center"/>
              <w:textAlignment w:val="center"/>
              <w:rPr>
                <w:sz w:val="21"/>
                <w:szCs w:val="21"/>
              </w:rPr>
            </w:pPr>
            <w:r>
              <w:rPr>
                <w:sz w:val="21"/>
                <w:szCs w:val="21"/>
              </w:rPr>
              <w:t>7</w:t>
            </w:r>
          </w:p>
        </w:tc>
        <w:tc>
          <w:tcPr>
            <w:tcW w:w="1297" w:type="pct"/>
            <w:vAlign w:val="center"/>
          </w:tcPr>
          <w:p>
            <w:pPr>
              <w:adjustRightInd w:val="0"/>
              <w:snapToGrid w:val="0"/>
              <w:jc w:val="center"/>
              <w:textAlignment w:val="center"/>
              <w:rPr>
                <w:sz w:val="21"/>
                <w:szCs w:val="21"/>
              </w:rPr>
            </w:pPr>
            <w:r>
              <w:rPr>
                <w:sz w:val="21"/>
                <w:szCs w:val="21"/>
              </w:rPr>
              <w:t>废气排放情况</w:t>
            </w:r>
          </w:p>
        </w:tc>
        <w:tc>
          <w:tcPr>
            <w:tcW w:w="610" w:type="pct"/>
            <w:vAlign w:val="center"/>
          </w:tcPr>
          <w:p>
            <w:pPr>
              <w:adjustRightInd w:val="0"/>
              <w:snapToGrid w:val="0"/>
              <w:jc w:val="center"/>
              <w:textAlignment w:val="center"/>
              <w:rPr>
                <w:sz w:val="21"/>
                <w:szCs w:val="21"/>
              </w:rPr>
            </w:pPr>
            <w:r>
              <w:rPr>
                <w:sz w:val="21"/>
                <w:szCs w:val="21"/>
              </w:rPr>
              <w:t>不存在</w:t>
            </w:r>
          </w:p>
        </w:tc>
        <w:tc>
          <w:tcPr>
            <w:tcW w:w="1069" w:type="pct"/>
            <w:vAlign w:val="center"/>
          </w:tcPr>
          <w:p>
            <w:pPr>
              <w:adjustRightInd w:val="0"/>
              <w:snapToGrid w:val="0"/>
              <w:jc w:val="center"/>
              <w:textAlignment w:val="center"/>
              <w:rPr>
                <w:sz w:val="21"/>
                <w:szCs w:val="21"/>
              </w:rPr>
            </w:pPr>
            <w:r>
              <w:rPr>
                <w:sz w:val="21"/>
                <w:szCs w:val="21"/>
              </w:rPr>
              <w:t>不存在</w:t>
            </w:r>
          </w:p>
        </w:tc>
        <w:tc>
          <w:tcPr>
            <w:tcW w:w="1146" w:type="pct"/>
            <w:vAlign w:val="center"/>
          </w:tcPr>
          <w:p>
            <w:pPr>
              <w:adjustRightInd w:val="0"/>
              <w:snapToGrid w:val="0"/>
              <w:jc w:val="center"/>
              <w:textAlignment w:val="center"/>
              <w:rPr>
                <w:sz w:val="21"/>
                <w:szCs w:val="21"/>
              </w:rPr>
            </w:pPr>
            <w:r>
              <w:rPr>
                <w:sz w:val="21"/>
                <w:szCs w:val="21"/>
              </w:rPr>
              <w:t>不存在</w:t>
            </w:r>
          </w:p>
        </w:tc>
        <w:tc>
          <w:tcPr>
            <w:tcW w:w="590" w:type="pct"/>
            <w:vAlign w:val="center"/>
          </w:tcPr>
          <w:p>
            <w:pPr>
              <w:adjustRightInd w:val="0"/>
              <w:snapToGrid w:val="0"/>
              <w:jc w:val="center"/>
              <w:textAlignment w:val="center"/>
              <w:rPr>
                <w:sz w:val="21"/>
                <w:szCs w:val="21"/>
              </w:rPr>
            </w:pPr>
            <w:r>
              <w:rPr>
                <w:sz w:val="21"/>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8" w:type="pct"/>
            <w:vAlign w:val="center"/>
          </w:tcPr>
          <w:p>
            <w:pPr>
              <w:adjustRightInd w:val="0"/>
              <w:snapToGrid w:val="0"/>
              <w:jc w:val="center"/>
              <w:textAlignment w:val="center"/>
              <w:rPr>
                <w:sz w:val="21"/>
                <w:szCs w:val="21"/>
              </w:rPr>
            </w:pPr>
            <w:r>
              <w:rPr>
                <w:sz w:val="21"/>
                <w:szCs w:val="21"/>
              </w:rPr>
              <w:t>8</w:t>
            </w:r>
          </w:p>
        </w:tc>
        <w:tc>
          <w:tcPr>
            <w:tcW w:w="1297" w:type="pct"/>
            <w:vAlign w:val="center"/>
          </w:tcPr>
          <w:p>
            <w:pPr>
              <w:adjustRightInd w:val="0"/>
              <w:snapToGrid w:val="0"/>
              <w:jc w:val="center"/>
              <w:textAlignment w:val="center"/>
              <w:rPr>
                <w:sz w:val="21"/>
                <w:szCs w:val="21"/>
              </w:rPr>
            </w:pPr>
            <w:r>
              <w:rPr>
                <w:sz w:val="21"/>
                <w:szCs w:val="21"/>
              </w:rPr>
              <w:t>废水排放情况</w:t>
            </w:r>
          </w:p>
        </w:tc>
        <w:tc>
          <w:tcPr>
            <w:tcW w:w="610" w:type="pct"/>
            <w:vAlign w:val="center"/>
          </w:tcPr>
          <w:p>
            <w:pPr>
              <w:adjustRightInd w:val="0"/>
              <w:snapToGrid w:val="0"/>
              <w:jc w:val="center"/>
              <w:textAlignment w:val="center"/>
              <w:rPr>
                <w:sz w:val="21"/>
                <w:szCs w:val="21"/>
              </w:rPr>
            </w:pPr>
            <w:r>
              <w:rPr>
                <w:sz w:val="21"/>
                <w:szCs w:val="21"/>
              </w:rPr>
              <w:t>不存在</w:t>
            </w:r>
          </w:p>
        </w:tc>
        <w:tc>
          <w:tcPr>
            <w:tcW w:w="1069" w:type="pct"/>
            <w:vAlign w:val="center"/>
          </w:tcPr>
          <w:p>
            <w:pPr>
              <w:adjustRightInd w:val="0"/>
              <w:snapToGrid w:val="0"/>
              <w:jc w:val="center"/>
              <w:textAlignment w:val="center"/>
              <w:rPr>
                <w:sz w:val="21"/>
                <w:szCs w:val="21"/>
              </w:rPr>
            </w:pPr>
            <w:r>
              <w:rPr>
                <w:sz w:val="21"/>
                <w:szCs w:val="21"/>
              </w:rPr>
              <w:t>不存在</w:t>
            </w:r>
          </w:p>
        </w:tc>
        <w:tc>
          <w:tcPr>
            <w:tcW w:w="1146" w:type="pct"/>
            <w:vAlign w:val="center"/>
          </w:tcPr>
          <w:p>
            <w:pPr>
              <w:adjustRightInd w:val="0"/>
              <w:snapToGrid w:val="0"/>
              <w:jc w:val="center"/>
              <w:textAlignment w:val="center"/>
              <w:rPr>
                <w:sz w:val="21"/>
                <w:szCs w:val="21"/>
              </w:rPr>
            </w:pPr>
            <w:r>
              <w:rPr>
                <w:sz w:val="21"/>
                <w:szCs w:val="21"/>
              </w:rPr>
              <w:t>不存在</w:t>
            </w:r>
          </w:p>
        </w:tc>
        <w:tc>
          <w:tcPr>
            <w:tcW w:w="590" w:type="pct"/>
            <w:vAlign w:val="center"/>
          </w:tcPr>
          <w:p>
            <w:pPr>
              <w:adjustRightInd w:val="0"/>
              <w:snapToGrid w:val="0"/>
              <w:jc w:val="center"/>
              <w:textAlignment w:val="center"/>
              <w:rPr>
                <w:sz w:val="21"/>
                <w:szCs w:val="21"/>
              </w:rPr>
            </w:pPr>
            <w:r>
              <w:rPr>
                <w:sz w:val="21"/>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8" w:type="pct"/>
            <w:vAlign w:val="center"/>
          </w:tcPr>
          <w:p>
            <w:pPr>
              <w:adjustRightInd w:val="0"/>
              <w:snapToGrid w:val="0"/>
              <w:jc w:val="center"/>
              <w:textAlignment w:val="center"/>
              <w:rPr>
                <w:sz w:val="21"/>
                <w:szCs w:val="21"/>
              </w:rPr>
            </w:pPr>
            <w:r>
              <w:rPr>
                <w:sz w:val="21"/>
                <w:szCs w:val="21"/>
              </w:rPr>
              <w:t>9</w:t>
            </w:r>
          </w:p>
        </w:tc>
        <w:tc>
          <w:tcPr>
            <w:tcW w:w="1297" w:type="pct"/>
            <w:vAlign w:val="center"/>
          </w:tcPr>
          <w:p>
            <w:pPr>
              <w:adjustRightInd w:val="0"/>
              <w:snapToGrid w:val="0"/>
              <w:jc w:val="center"/>
              <w:textAlignment w:val="center"/>
              <w:rPr>
                <w:sz w:val="21"/>
                <w:szCs w:val="21"/>
              </w:rPr>
            </w:pPr>
            <w:r>
              <w:rPr>
                <w:sz w:val="21"/>
                <w:szCs w:val="21"/>
              </w:rPr>
              <w:t>危险固废情况</w:t>
            </w:r>
          </w:p>
        </w:tc>
        <w:tc>
          <w:tcPr>
            <w:tcW w:w="610" w:type="pct"/>
            <w:vAlign w:val="center"/>
          </w:tcPr>
          <w:p>
            <w:pPr>
              <w:adjustRightInd w:val="0"/>
              <w:snapToGrid w:val="0"/>
              <w:jc w:val="center"/>
              <w:textAlignment w:val="center"/>
              <w:rPr>
                <w:sz w:val="21"/>
                <w:szCs w:val="21"/>
              </w:rPr>
            </w:pPr>
            <w:r>
              <w:rPr>
                <w:sz w:val="21"/>
                <w:szCs w:val="21"/>
              </w:rPr>
              <w:t>不存在</w:t>
            </w:r>
          </w:p>
        </w:tc>
        <w:tc>
          <w:tcPr>
            <w:tcW w:w="1069" w:type="pct"/>
            <w:vAlign w:val="center"/>
          </w:tcPr>
          <w:p>
            <w:pPr>
              <w:adjustRightInd w:val="0"/>
              <w:snapToGrid w:val="0"/>
              <w:jc w:val="center"/>
              <w:textAlignment w:val="center"/>
              <w:rPr>
                <w:sz w:val="21"/>
                <w:szCs w:val="21"/>
              </w:rPr>
            </w:pPr>
            <w:r>
              <w:rPr>
                <w:sz w:val="21"/>
                <w:szCs w:val="21"/>
              </w:rPr>
              <w:t>不存在</w:t>
            </w:r>
          </w:p>
        </w:tc>
        <w:tc>
          <w:tcPr>
            <w:tcW w:w="1146" w:type="pct"/>
            <w:vAlign w:val="center"/>
          </w:tcPr>
          <w:p>
            <w:pPr>
              <w:adjustRightInd w:val="0"/>
              <w:snapToGrid w:val="0"/>
              <w:jc w:val="center"/>
              <w:textAlignment w:val="center"/>
              <w:rPr>
                <w:sz w:val="21"/>
                <w:szCs w:val="21"/>
              </w:rPr>
            </w:pPr>
            <w:r>
              <w:rPr>
                <w:sz w:val="21"/>
                <w:szCs w:val="21"/>
              </w:rPr>
              <w:t>不存在</w:t>
            </w:r>
          </w:p>
        </w:tc>
        <w:tc>
          <w:tcPr>
            <w:tcW w:w="590" w:type="pct"/>
            <w:vAlign w:val="center"/>
          </w:tcPr>
          <w:p>
            <w:pPr>
              <w:adjustRightInd w:val="0"/>
              <w:snapToGrid w:val="0"/>
              <w:jc w:val="center"/>
              <w:textAlignment w:val="center"/>
              <w:rPr>
                <w:sz w:val="21"/>
                <w:szCs w:val="21"/>
              </w:rPr>
            </w:pPr>
            <w:r>
              <w:rPr>
                <w:sz w:val="21"/>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8" w:type="pct"/>
            <w:vAlign w:val="center"/>
          </w:tcPr>
          <w:p>
            <w:pPr>
              <w:adjustRightInd w:val="0"/>
              <w:snapToGrid w:val="0"/>
              <w:jc w:val="center"/>
              <w:textAlignment w:val="center"/>
              <w:rPr>
                <w:sz w:val="21"/>
                <w:szCs w:val="21"/>
              </w:rPr>
            </w:pPr>
            <w:r>
              <w:rPr>
                <w:sz w:val="21"/>
                <w:szCs w:val="21"/>
              </w:rPr>
              <w:t>10</w:t>
            </w:r>
          </w:p>
        </w:tc>
        <w:tc>
          <w:tcPr>
            <w:tcW w:w="1297" w:type="pct"/>
            <w:vAlign w:val="center"/>
          </w:tcPr>
          <w:p>
            <w:pPr>
              <w:adjustRightInd w:val="0"/>
              <w:snapToGrid w:val="0"/>
              <w:jc w:val="center"/>
              <w:textAlignment w:val="center"/>
              <w:rPr>
                <w:sz w:val="21"/>
                <w:szCs w:val="21"/>
              </w:rPr>
            </w:pPr>
            <w:r>
              <w:rPr>
                <w:sz w:val="21"/>
                <w:szCs w:val="21"/>
              </w:rPr>
              <w:t>土壤颜色、气味有无异常，有无油渍</w:t>
            </w:r>
          </w:p>
        </w:tc>
        <w:tc>
          <w:tcPr>
            <w:tcW w:w="610" w:type="pct"/>
            <w:vAlign w:val="center"/>
          </w:tcPr>
          <w:p>
            <w:pPr>
              <w:adjustRightInd w:val="0"/>
              <w:snapToGrid w:val="0"/>
              <w:jc w:val="center"/>
              <w:textAlignment w:val="center"/>
              <w:rPr>
                <w:sz w:val="21"/>
                <w:szCs w:val="21"/>
              </w:rPr>
            </w:pPr>
            <w:r>
              <w:rPr>
                <w:sz w:val="21"/>
                <w:szCs w:val="21"/>
              </w:rPr>
              <w:t>/</w:t>
            </w:r>
          </w:p>
        </w:tc>
        <w:tc>
          <w:tcPr>
            <w:tcW w:w="1069" w:type="pct"/>
            <w:vAlign w:val="center"/>
          </w:tcPr>
          <w:p>
            <w:pPr>
              <w:adjustRightInd w:val="0"/>
              <w:snapToGrid w:val="0"/>
              <w:jc w:val="center"/>
              <w:textAlignment w:val="center"/>
              <w:rPr>
                <w:sz w:val="21"/>
                <w:szCs w:val="21"/>
              </w:rPr>
            </w:pPr>
            <w:r>
              <w:rPr>
                <w:sz w:val="21"/>
                <w:szCs w:val="21"/>
              </w:rPr>
              <w:t>无</w:t>
            </w:r>
          </w:p>
        </w:tc>
        <w:tc>
          <w:tcPr>
            <w:tcW w:w="1146" w:type="pct"/>
            <w:vAlign w:val="center"/>
          </w:tcPr>
          <w:p>
            <w:pPr>
              <w:adjustRightInd w:val="0"/>
              <w:snapToGrid w:val="0"/>
              <w:jc w:val="center"/>
              <w:textAlignment w:val="center"/>
              <w:rPr>
                <w:sz w:val="21"/>
                <w:szCs w:val="21"/>
              </w:rPr>
            </w:pPr>
            <w:r>
              <w:rPr>
                <w:sz w:val="21"/>
                <w:szCs w:val="21"/>
              </w:rPr>
              <w:t>无</w:t>
            </w:r>
          </w:p>
        </w:tc>
        <w:tc>
          <w:tcPr>
            <w:tcW w:w="590" w:type="pct"/>
            <w:vAlign w:val="center"/>
          </w:tcPr>
          <w:p>
            <w:pPr>
              <w:adjustRightInd w:val="0"/>
              <w:snapToGrid w:val="0"/>
              <w:jc w:val="center"/>
              <w:textAlignment w:val="center"/>
              <w:rPr>
                <w:sz w:val="21"/>
                <w:szCs w:val="21"/>
              </w:rPr>
            </w:pPr>
            <w:r>
              <w:rPr>
                <w:sz w:val="21"/>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8" w:type="pct"/>
            <w:vAlign w:val="center"/>
          </w:tcPr>
          <w:p>
            <w:pPr>
              <w:adjustRightInd w:val="0"/>
              <w:snapToGrid w:val="0"/>
              <w:jc w:val="center"/>
              <w:textAlignment w:val="center"/>
              <w:rPr>
                <w:sz w:val="21"/>
                <w:szCs w:val="21"/>
              </w:rPr>
            </w:pPr>
            <w:r>
              <w:rPr>
                <w:sz w:val="21"/>
                <w:szCs w:val="21"/>
              </w:rPr>
              <w:t>11</w:t>
            </w:r>
          </w:p>
        </w:tc>
        <w:tc>
          <w:tcPr>
            <w:tcW w:w="1297" w:type="pct"/>
            <w:vAlign w:val="center"/>
          </w:tcPr>
          <w:p>
            <w:pPr>
              <w:adjustRightInd w:val="0"/>
              <w:snapToGrid w:val="0"/>
              <w:jc w:val="center"/>
              <w:textAlignment w:val="center"/>
              <w:rPr>
                <w:sz w:val="21"/>
                <w:szCs w:val="21"/>
              </w:rPr>
            </w:pPr>
            <w:r>
              <w:rPr>
                <w:sz w:val="21"/>
                <w:szCs w:val="21"/>
              </w:rPr>
              <w:t>地下水颜色、气味有无异常，有无油渍</w:t>
            </w:r>
          </w:p>
        </w:tc>
        <w:tc>
          <w:tcPr>
            <w:tcW w:w="610" w:type="pct"/>
            <w:vAlign w:val="center"/>
          </w:tcPr>
          <w:p>
            <w:pPr>
              <w:adjustRightInd w:val="0"/>
              <w:snapToGrid w:val="0"/>
              <w:jc w:val="center"/>
              <w:textAlignment w:val="center"/>
              <w:rPr>
                <w:sz w:val="21"/>
                <w:szCs w:val="21"/>
              </w:rPr>
            </w:pPr>
            <w:r>
              <w:rPr>
                <w:sz w:val="21"/>
                <w:szCs w:val="21"/>
              </w:rPr>
              <w:t>/</w:t>
            </w:r>
          </w:p>
        </w:tc>
        <w:tc>
          <w:tcPr>
            <w:tcW w:w="1069" w:type="pct"/>
            <w:vAlign w:val="center"/>
          </w:tcPr>
          <w:p>
            <w:pPr>
              <w:adjustRightInd w:val="0"/>
              <w:snapToGrid w:val="0"/>
              <w:jc w:val="center"/>
              <w:textAlignment w:val="center"/>
              <w:rPr>
                <w:sz w:val="21"/>
                <w:szCs w:val="21"/>
              </w:rPr>
            </w:pPr>
            <w:r>
              <w:rPr>
                <w:sz w:val="21"/>
                <w:szCs w:val="21"/>
              </w:rPr>
              <w:t>无</w:t>
            </w:r>
          </w:p>
        </w:tc>
        <w:tc>
          <w:tcPr>
            <w:tcW w:w="1146" w:type="pct"/>
            <w:vAlign w:val="center"/>
          </w:tcPr>
          <w:p>
            <w:pPr>
              <w:adjustRightInd w:val="0"/>
              <w:snapToGrid w:val="0"/>
              <w:jc w:val="center"/>
              <w:textAlignment w:val="center"/>
              <w:rPr>
                <w:sz w:val="21"/>
                <w:szCs w:val="21"/>
              </w:rPr>
            </w:pPr>
            <w:r>
              <w:rPr>
                <w:sz w:val="21"/>
                <w:szCs w:val="21"/>
              </w:rPr>
              <w:t>无</w:t>
            </w:r>
          </w:p>
        </w:tc>
        <w:tc>
          <w:tcPr>
            <w:tcW w:w="590" w:type="pct"/>
            <w:vAlign w:val="center"/>
          </w:tcPr>
          <w:p>
            <w:pPr>
              <w:adjustRightInd w:val="0"/>
              <w:snapToGrid w:val="0"/>
              <w:jc w:val="center"/>
              <w:textAlignment w:val="center"/>
              <w:rPr>
                <w:sz w:val="21"/>
                <w:szCs w:val="21"/>
              </w:rPr>
            </w:pPr>
            <w:r>
              <w:rPr>
                <w:sz w:val="21"/>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8" w:type="pct"/>
            <w:vAlign w:val="center"/>
          </w:tcPr>
          <w:p>
            <w:pPr>
              <w:adjustRightInd w:val="0"/>
              <w:snapToGrid w:val="0"/>
              <w:jc w:val="center"/>
              <w:textAlignment w:val="center"/>
              <w:rPr>
                <w:sz w:val="21"/>
                <w:szCs w:val="21"/>
              </w:rPr>
            </w:pPr>
            <w:r>
              <w:rPr>
                <w:sz w:val="21"/>
                <w:szCs w:val="21"/>
              </w:rPr>
              <w:t>12</w:t>
            </w:r>
          </w:p>
        </w:tc>
        <w:tc>
          <w:tcPr>
            <w:tcW w:w="1297" w:type="pct"/>
            <w:vAlign w:val="center"/>
          </w:tcPr>
          <w:p>
            <w:pPr>
              <w:adjustRightInd w:val="0"/>
              <w:snapToGrid w:val="0"/>
              <w:jc w:val="center"/>
              <w:textAlignment w:val="center"/>
              <w:rPr>
                <w:sz w:val="21"/>
                <w:szCs w:val="21"/>
              </w:rPr>
            </w:pPr>
            <w:r>
              <w:rPr>
                <w:sz w:val="21"/>
                <w:szCs w:val="21"/>
              </w:rPr>
              <w:t>土壤污染情况</w:t>
            </w:r>
          </w:p>
        </w:tc>
        <w:tc>
          <w:tcPr>
            <w:tcW w:w="610" w:type="pct"/>
            <w:vAlign w:val="center"/>
          </w:tcPr>
          <w:p>
            <w:pPr>
              <w:adjustRightInd w:val="0"/>
              <w:snapToGrid w:val="0"/>
              <w:jc w:val="center"/>
              <w:textAlignment w:val="center"/>
              <w:rPr>
                <w:sz w:val="21"/>
                <w:szCs w:val="21"/>
              </w:rPr>
            </w:pPr>
            <w:r>
              <w:rPr>
                <w:sz w:val="21"/>
                <w:szCs w:val="21"/>
              </w:rPr>
              <w:t>无</w:t>
            </w:r>
          </w:p>
        </w:tc>
        <w:tc>
          <w:tcPr>
            <w:tcW w:w="1069" w:type="pct"/>
            <w:vAlign w:val="center"/>
          </w:tcPr>
          <w:p>
            <w:pPr>
              <w:adjustRightInd w:val="0"/>
              <w:snapToGrid w:val="0"/>
              <w:jc w:val="center"/>
              <w:textAlignment w:val="center"/>
              <w:rPr>
                <w:sz w:val="21"/>
                <w:szCs w:val="21"/>
              </w:rPr>
            </w:pPr>
            <w:r>
              <w:rPr>
                <w:sz w:val="21"/>
                <w:szCs w:val="21"/>
              </w:rPr>
              <w:t>无</w:t>
            </w:r>
          </w:p>
        </w:tc>
        <w:tc>
          <w:tcPr>
            <w:tcW w:w="1146" w:type="pct"/>
            <w:vAlign w:val="center"/>
          </w:tcPr>
          <w:p>
            <w:pPr>
              <w:adjustRightInd w:val="0"/>
              <w:snapToGrid w:val="0"/>
              <w:jc w:val="center"/>
              <w:textAlignment w:val="center"/>
              <w:rPr>
                <w:sz w:val="21"/>
                <w:szCs w:val="21"/>
              </w:rPr>
            </w:pPr>
            <w:r>
              <w:rPr>
                <w:sz w:val="21"/>
                <w:szCs w:val="21"/>
              </w:rPr>
              <w:t>无</w:t>
            </w:r>
          </w:p>
        </w:tc>
        <w:tc>
          <w:tcPr>
            <w:tcW w:w="590" w:type="pct"/>
            <w:vAlign w:val="center"/>
          </w:tcPr>
          <w:p>
            <w:pPr>
              <w:adjustRightInd w:val="0"/>
              <w:snapToGrid w:val="0"/>
              <w:jc w:val="center"/>
              <w:textAlignment w:val="center"/>
              <w:rPr>
                <w:sz w:val="21"/>
                <w:szCs w:val="21"/>
              </w:rPr>
            </w:pPr>
            <w:r>
              <w:rPr>
                <w:sz w:val="21"/>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8" w:type="pct"/>
            <w:vAlign w:val="center"/>
          </w:tcPr>
          <w:p>
            <w:pPr>
              <w:adjustRightInd w:val="0"/>
              <w:snapToGrid w:val="0"/>
              <w:jc w:val="center"/>
              <w:textAlignment w:val="center"/>
              <w:rPr>
                <w:sz w:val="21"/>
                <w:szCs w:val="21"/>
              </w:rPr>
            </w:pPr>
            <w:r>
              <w:rPr>
                <w:sz w:val="21"/>
                <w:szCs w:val="21"/>
              </w:rPr>
              <w:t>13</w:t>
            </w:r>
          </w:p>
        </w:tc>
        <w:tc>
          <w:tcPr>
            <w:tcW w:w="1297" w:type="pct"/>
            <w:vAlign w:val="center"/>
          </w:tcPr>
          <w:p>
            <w:pPr>
              <w:adjustRightInd w:val="0"/>
              <w:snapToGrid w:val="0"/>
              <w:jc w:val="center"/>
              <w:textAlignment w:val="center"/>
              <w:rPr>
                <w:sz w:val="21"/>
                <w:szCs w:val="21"/>
              </w:rPr>
            </w:pPr>
            <w:r>
              <w:rPr>
                <w:sz w:val="21"/>
                <w:szCs w:val="21"/>
              </w:rPr>
              <w:t>地下水污染情况</w:t>
            </w:r>
          </w:p>
        </w:tc>
        <w:tc>
          <w:tcPr>
            <w:tcW w:w="610" w:type="pct"/>
            <w:vAlign w:val="center"/>
          </w:tcPr>
          <w:p>
            <w:pPr>
              <w:adjustRightInd w:val="0"/>
              <w:snapToGrid w:val="0"/>
              <w:jc w:val="center"/>
              <w:textAlignment w:val="center"/>
              <w:rPr>
                <w:sz w:val="21"/>
                <w:szCs w:val="21"/>
              </w:rPr>
            </w:pPr>
            <w:r>
              <w:rPr>
                <w:sz w:val="21"/>
                <w:szCs w:val="21"/>
              </w:rPr>
              <w:t>无</w:t>
            </w:r>
          </w:p>
        </w:tc>
        <w:tc>
          <w:tcPr>
            <w:tcW w:w="1069" w:type="pct"/>
            <w:vAlign w:val="center"/>
          </w:tcPr>
          <w:p>
            <w:pPr>
              <w:adjustRightInd w:val="0"/>
              <w:snapToGrid w:val="0"/>
              <w:jc w:val="center"/>
              <w:textAlignment w:val="center"/>
              <w:rPr>
                <w:sz w:val="21"/>
                <w:szCs w:val="21"/>
              </w:rPr>
            </w:pPr>
            <w:r>
              <w:rPr>
                <w:sz w:val="21"/>
                <w:szCs w:val="21"/>
              </w:rPr>
              <w:t>无</w:t>
            </w:r>
          </w:p>
        </w:tc>
        <w:tc>
          <w:tcPr>
            <w:tcW w:w="1146" w:type="pct"/>
            <w:vAlign w:val="center"/>
          </w:tcPr>
          <w:p>
            <w:pPr>
              <w:adjustRightInd w:val="0"/>
              <w:snapToGrid w:val="0"/>
              <w:jc w:val="center"/>
              <w:textAlignment w:val="center"/>
              <w:rPr>
                <w:sz w:val="21"/>
                <w:szCs w:val="21"/>
              </w:rPr>
            </w:pPr>
            <w:r>
              <w:rPr>
                <w:sz w:val="21"/>
                <w:szCs w:val="21"/>
              </w:rPr>
              <w:t>无</w:t>
            </w:r>
          </w:p>
        </w:tc>
        <w:tc>
          <w:tcPr>
            <w:tcW w:w="590" w:type="pct"/>
            <w:vAlign w:val="center"/>
          </w:tcPr>
          <w:p>
            <w:pPr>
              <w:adjustRightInd w:val="0"/>
              <w:snapToGrid w:val="0"/>
              <w:jc w:val="center"/>
              <w:textAlignment w:val="center"/>
              <w:rPr>
                <w:sz w:val="21"/>
                <w:szCs w:val="21"/>
              </w:rPr>
            </w:pPr>
            <w:r>
              <w:rPr>
                <w:sz w:val="21"/>
                <w:szCs w:val="21"/>
              </w:rPr>
              <w:t>一致</w:t>
            </w:r>
          </w:p>
        </w:tc>
      </w:tr>
    </w:tbl>
    <w:p>
      <w:pPr>
        <w:snapToGrid w:val="0"/>
        <w:spacing w:line="460" w:lineRule="exact"/>
        <w:ind w:firstLine="480" w:firstLineChars="200"/>
        <w:rPr>
          <w:snapToGrid w:val="0"/>
          <w:sz w:val="24"/>
        </w:rPr>
      </w:pPr>
      <w:r>
        <w:rPr>
          <w:snapToGrid w:val="0"/>
          <w:sz w:val="24"/>
        </w:rPr>
        <w:t>整体来看，本地块调查过程中资料收集、现场踏勘和人员访谈得到的信息结论一致，总体可信。</w:t>
      </w:r>
    </w:p>
    <w:p>
      <w:pPr>
        <w:pStyle w:val="116"/>
        <w:rPr>
          <w:rFonts w:ascii="Times New Roman" w:hAnsi="Times New Roman" w:eastAsia="宋体"/>
          <w:szCs w:val="28"/>
        </w:rPr>
      </w:pPr>
      <w:bookmarkStart w:id="69" w:name="_Toc149642002"/>
      <w:r>
        <w:rPr>
          <w:rFonts w:ascii="Times New Roman" w:hAnsi="Times New Roman" w:eastAsia="宋体"/>
          <w:szCs w:val="28"/>
        </w:rPr>
        <w:t>6.2 初步调查结果</w:t>
      </w:r>
      <w:bookmarkEnd w:id="69"/>
    </w:p>
    <w:p>
      <w:pPr>
        <w:snapToGrid w:val="0"/>
        <w:spacing w:line="460" w:lineRule="exact"/>
        <w:ind w:firstLine="480" w:firstLineChars="200"/>
        <w:rPr>
          <w:sz w:val="24"/>
          <w:szCs w:val="24"/>
        </w:rPr>
      </w:pPr>
      <w:r>
        <w:rPr>
          <w:sz w:val="24"/>
          <w:szCs w:val="24"/>
        </w:rPr>
        <w:t>金华市婺城区婺城新区单元(ZX-15-01-19)地块占地63950.01m</w:t>
      </w:r>
      <w:r>
        <w:rPr>
          <w:sz w:val="24"/>
          <w:szCs w:val="24"/>
          <w:vertAlign w:val="superscript"/>
        </w:rPr>
        <w:t>2</w:t>
      </w:r>
      <w:r>
        <w:rPr>
          <w:sz w:val="24"/>
          <w:szCs w:val="24"/>
        </w:rPr>
        <w:t>，位于东堰街以东、东俞路以南、金江南街以西、横三路以北</w:t>
      </w:r>
      <w:r>
        <w:rPr>
          <w:rFonts w:hint="eastAsia"/>
          <w:sz w:val="24"/>
          <w:szCs w:val="24"/>
        </w:rPr>
        <w:t>。</w:t>
      </w:r>
      <w:r>
        <w:rPr>
          <w:sz w:val="24"/>
          <w:szCs w:val="24"/>
        </w:rPr>
        <w:t>地块</w:t>
      </w:r>
      <w:r>
        <w:rPr>
          <w:rFonts w:hint="eastAsia"/>
          <w:sz w:val="24"/>
          <w:szCs w:val="24"/>
        </w:rPr>
        <w:t>东至东俞村耕地，隔耕地为东俞村；南至东俞村荒地，隔荒地为临江东路；西至东俞村荒地，隔荒地为地表水白沙溪；北至东俞村耕地和池塘</w:t>
      </w:r>
      <w:r>
        <w:rPr>
          <w:sz w:val="24"/>
          <w:szCs w:val="24"/>
        </w:rPr>
        <w:t>，地块中心地理坐标为29.101940°N，119.556952°E。</w:t>
      </w:r>
    </w:p>
    <w:p>
      <w:pPr>
        <w:spacing w:line="440" w:lineRule="exact"/>
        <w:ind w:firstLine="480" w:firstLineChars="200"/>
        <w:rPr>
          <w:sz w:val="24"/>
          <w:szCs w:val="24"/>
        </w:rPr>
      </w:pPr>
      <w:r>
        <w:rPr>
          <w:sz w:val="24"/>
          <w:szCs w:val="24"/>
        </w:rPr>
        <w:t>金华市婺城区婺城新区单元(ZX-15-01-19)地块在2011年以前</w:t>
      </w:r>
      <w:r>
        <w:rPr>
          <w:rFonts w:hint="eastAsia"/>
          <w:sz w:val="24"/>
          <w:szCs w:val="24"/>
        </w:rPr>
        <w:t>以种植水稻为主</w:t>
      </w:r>
      <w:r>
        <w:rPr>
          <w:sz w:val="24"/>
          <w:szCs w:val="24"/>
        </w:rPr>
        <w:t>；2011年~2023年期间</w:t>
      </w:r>
      <w:r>
        <w:rPr>
          <w:rFonts w:hint="eastAsia"/>
          <w:sz w:val="24"/>
          <w:szCs w:val="24"/>
        </w:rPr>
        <w:t>部分土地</w:t>
      </w:r>
      <w:r>
        <w:rPr>
          <w:sz w:val="24"/>
          <w:szCs w:val="24"/>
        </w:rPr>
        <w:t>种植林木</w:t>
      </w:r>
      <w:r>
        <w:rPr>
          <w:rFonts w:hint="eastAsia"/>
          <w:sz w:val="24"/>
          <w:szCs w:val="24"/>
        </w:rPr>
        <w:t>和时蔬，部分土地为荒地和池塘</w:t>
      </w:r>
      <w:r>
        <w:rPr>
          <w:sz w:val="24"/>
          <w:szCs w:val="24"/>
        </w:rPr>
        <w:t>；2023年9月开始进行施工</w:t>
      </w:r>
      <w:r>
        <w:rPr>
          <w:rFonts w:hint="eastAsia"/>
          <w:sz w:val="24"/>
          <w:szCs w:val="24"/>
        </w:rPr>
        <w:t>平整土地</w:t>
      </w:r>
      <w:r>
        <w:rPr>
          <w:sz w:val="24"/>
          <w:shd w:val="clear" w:color="auto" w:fill="FFFFFF"/>
        </w:rPr>
        <w:t>。</w:t>
      </w:r>
    </w:p>
    <w:p>
      <w:pPr>
        <w:spacing w:line="440" w:lineRule="exact"/>
        <w:ind w:firstLine="480" w:firstLineChars="200"/>
        <w:rPr>
          <w:sz w:val="24"/>
          <w:szCs w:val="24"/>
        </w:rPr>
      </w:pPr>
      <w:r>
        <w:rPr>
          <w:sz w:val="24"/>
          <w:szCs w:val="24"/>
        </w:rPr>
        <w:t>目前，地块</w:t>
      </w:r>
      <w:r>
        <w:rPr>
          <w:rFonts w:hint="eastAsia"/>
          <w:sz w:val="24"/>
          <w:szCs w:val="24"/>
        </w:rPr>
        <w:t>相邻</w:t>
      </w:r>
      <w:r>
        <w:rPr>
          <w:sz w:val="24"/>
          <w:szCs w:val="24"/>
        </w:rPr>
        <w:t>东侧</w:t>
      </w:r>
      <w:r>
        <w:rPr>
          <w:rFonts w:hint="eastAsia"/>
          <w:sz w:val="24"/>
          <w:szCs w:val="24"/>
        </w:rPr>
        <w:t>、西侧和北侧</w:t>
      </w:r>
      <w:r>
        <w:rPr>
          <w:sz w:val="24"/>
          <w:szCs w:val="24"/>
        </w:rPr>
        <w:t>为</w:t>
      </w:r>
      <w:r>
        <w:rPr>
          <w:rFonts w:hint="eastAsia"/>
          <w:sz w:val="24"/>
          <w:szCs w:val="24"/>
        </w:rPr>
        <w:t>耕地为主</w:t>
      </w:r>
      <w:r>
        <w:rPr>
          <w:sz w:val="24"/>
          <w:szCs w:val="24"/>
        </w:rPr>
        <w:t>，相邻南侧为</w:t>
      </w:r>
      <w:r>
        <w:rPr>
          <w:rFonts w:hint="eastAsia"/>
          <w:sz w:val="24"/>
          <w:szCs w:val="24"/>
        </w:rPr>
        <w:t>荒地为主</w:t>
      </w:r>
      <w:r>
        <w:rPr>
          <w:sz w:val="24"/>
          <w:szCs w:val="24"/>
        </w:rPr>
        <w:t>。相邻地块历史上主要是耕地、荒地、空地。地块</w:t>
      </w:r>
      <w:r>
        <w:rPr>
          <w:rFonts w:hint="eastAsia"/>
          <w:sz w:val="24"/>
          <w:szCs w:val="24"/>
        </w:rPr>
        <w:t>周边</w:t>
      </w:r>
      <w:r>
        <w:rPr>
          <w:sz w:val="24"/>
          <w:szCs w:val="24"/>
        </w:rPr>
        <w:t>100m</w:t>
      </w:r>
      <w:r>
        <w:rPr>
          <w:rFonts w:hint="eastAsia"/>
          <w:sz w:val="24"/>
          <w:szCs w:val="24"/>
        </w:rPr>
        <w:t>范围内无</w:t>
      </w:r>
      <w:r>
        <w:rPr>
          <w:sz w:val="24"/>
          <w:szCs w:val="24"/>
        </w:rPr>
        <w:t>工业企业</w:t>
      </w:r>
      <w:r>
        <w:rPr>
          <w:rFonts w:hint="eastAsia"/>
          <w:sz w:val="24"/>
          <w:szCs w:val="24"/>
        </w:rPr>
        <w:t>，1k</w:t>
      </w:r>
      <w:r>
        <w:rPr>
          <w:sz w:val="24"/>
          <w:szCs w:val="24"/>
        </w:rPr>
        <w:t>m</w:t>
      </w:r>
      <w:r>
        <w:rPr>
          <w:rFonts w:hint="eastAsia"/>
          <w:sz w:val="24"/>
          <w:szCs w:val="24"/>
        </w:rPr>
        <w:t>范围内无重污染</w:t>
      </w:r>
      <w:r>
        <w:rPr>
          <w:sz w:val="24"/>
          <w:szCs w:val="24"/>
        </w:rPr>
        <w:t>工业企业。</w:t>
      </w:r>
    </w:p>
    <w:p>
      <w:pPr>
        <w:pStyle w:val="116"/>
        <w:rPr>
          <w:rFonts w:ascii="Times New Roman" w:hAnsi="Times New Roman" w:eastAsia="宋体"/>
          <w:szCs w:val="28"/>
        </w:rPr>
      </w:pPr>
      <w:bookmarkStart w:id="70" w:name="_Toc149642003"/>
      <w:r>
        <w:rPr>
          <w:rFonts w:ascii="Times New Roman" w:hAnsi="Times New Roman" w:eastAsia="宋体"/>
          <w:szCs w:val="28"/>
        </w:rPr>
        <w:t>6.3调查结果分析</w:t>
      </w:r>
      <w:bookmarkEnd w:id="70"/>
    </w:p>
    <w:p>
      <w:pPr>
        <w:snapToGrid w:val="0"/>
        <w:spacing w:line="460" w:lineRule="exact"/>
        <w:ind w:firstLine="480" w:firstLineChars="200"/>
        <w:rPr>
          <w:snapToGrid w:val="0"/>
          <w:sz w:val="24"/>
        </w:rPr>
      </w:pPr>
      <w:r>
        <w:rPr>
          <w:snapToGrid w:val="0"/>
          <w:sz w:val="24"/>
        </w:rPr>
        <w:t>根对照《浙江省建设用地土壤污染风险管控和修复监督管理办法》(浙环发[2021]21号)十四条，地块属于甲类地块且原用途为农用地或未利用地的，同时满足以下条件的，相应的土壤污染调查以污染识别为主、可不进行采样检测。符合条件对照详见表6.2-1。</w:t>
      </w:r>
    </w:p>
    <w:p>
      <w:pPr>
        <w:spacing w:line="460" w:lineRule="exact"/>
        <w:jc w:val="center"/>
        <w:rPr>
          <w:b/>
          <w:sz w:val="24"/>
          <w:szCs w:val="24"/>
        </w:rPr>
      </w:pPr>
      <w:r>
        <w:rPr>
          <w:b/>
          <w:sz w:val="24"/>
          <w:szCs w:val="24"/>
        </w:rPr>
        <w:t>表6.2-1  符合条件对照一览表</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2805"/>
        <w:gridCol w:w="5383"/>
        <w:gridCol w:w="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29" w:type="pct"/>
            <w:vAlign w:val="center"/>
          </w:tcPr>
          <w:p>
            <w:pPr>
              <w:adjustRightInd w:val="0"/>
              <w:snapToGrid w:val="0"/>
              <w:jc w:val="center"/>
              <w:textAlignment w:val="center"/>
              <w:rPr>
                <w:b/>
                <w:sz w:val="21"/>
                <w:szCs w:val="21"/>
              </w:rPr>
            </w:pPr>
            <w:r>
              <w:rPr>
                <w:b/>
                <w:sz w:val="21"/>
                <w:szCs w:val="21"/>
              </w:rPr>
              <w:t>序号</w:t>
            </w:r>
          </w:p>
        </w:tc>
        <w:tc>
          <w:tcPr>
            <w:tcW w:w="1510" w:type="pct"/>
            <w:vAlign w:val="center"/>
          </w:tcPr>
          <w:p>
            <w:pPr>
              <w:adjustRightInd w:val="0"/>
              <w:snapToGrid w:val="0"/>
              <w:jc w:val="center"/>
              <w:textAlignment w:val="center"/>
              <w:rPr>
                <w:b/>
                <w:sz w:val="21"/>
                <w:szCs w:val="21"/>
              </w:rPr>
            </w:pPr>
            <w:r>
              <w:rPr>
                <w:b/>
                <w:sz w:val="21"/>
                <w:szCs w:val="21"/>
              </w:rPr>
              <w:t>浙环发[2021]21号文件规定</w:t>
            </w:r>
          </w:p>
        </w:tc>
        <w:tc>
          <w:tcPr>
            <w:tcW w:w="2897" w:type="pct"/>
            <w:vAlign w:val="center"/>
          </w:tcPr>
          <w:p>
            <w:pPr>
              <w:adjustRightInd w:val="0"/>
              <w:snapToGrid w:val="0"/>
              <w:jc w:val="center"/>
              <w:textAlignment w:val="center"/>
              <w:rPr>
                <w:b/>
                <w:sz w:val="21"/>
                <w:szCs w:val="21"/>
              </w:rPr>
            </w:pPr>
            <w:r>
              <w:rPr>
                <w:b/>
                <w:sz w:val="21"/>
                <w:szCs w:val="21"/>
              </w:rPr>
              <w:t>本地块情况</w:t>
            </w:r>
          </w:p>
        </w:tc>
        <w:tc>
          <w:tcPr>
            <w:tcW w:w="361" w:type="pct"/>
            <w:vAlign w:val="center"/>
          </w:tcPr>
          <w:p>
            <w:pPr>
              <w:adjustRightInd w:val="0"/>
              <w:snapToGrid w:val="0"/>
              <w:jc w:val="center"/>
              <w:textAlignment w:val="center"/>
              <w:rPr>
                <w:b/>
                <w:sz w:val="21"/>
                <w:szCs w:val="21"/>
              </w:rPr>
            </w:pPr>
            <w:r>
              <w:rPr>
                <w:b/>
                <w:sz w:val="21"/>
                <w:szCs w:val="21"/>
              </w:rPr>
              <w:t>符合情况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29" w:type="pct"/>
            <w:vAlign w:val="center"/>
          </w:tcPr>
          <w:p>
            <w:pPr>
              <w:adjustRightInd w:val="0"/>
              <w:snapToGrid w:val="0"/>
              <w:jc w:val="center"/>
              <w:textAlignment w:val="center"/>
              <w:rPr>
                <w:sz w:val="21"/>
                <w:szCs w:val="21"/>
              </w:rPr>
            </w:pPr>
            <w:r>
              <w:rPr>
                <w:sz w:val="21"/>
                <w:szCs w:val="21"/>
              </w:rPr>
              <w:t>1</w:t>
            </w:r>
          </w:p>
        </w:tc>
        <w:tc>
          <w:tcPr>
            <w:tcW w:w="1510" w:type="pct"/>
            <w:vAlign w:val="center"/>
          </w:tcPr>
          <w:p>
            <w:pPr>
              <w:adjustRightInd w:val="0"/>
              <w:snapToGrid w:val="0"/>
              <w:jc w:val="center"/>
              <w:textAlignment w:val="center"/>
              <w:rPr>
                <w:sz w:val="21"/>
                <w:szCs w:val="21"/>
              </w:rPr>
            </w:pPr>
            <w:r>
              <w:rPr>
                <w:sz w:val="21"/>
                <w:szCs w:val="21"/>
              </w:rPr>
              <w:t>历史上未曾涉及工矿企业用途、规模化畜禽养殖、有毒有害物质贮存或输送的</w:t>
            </w:r>
          </w:p>
        </w:tc>
        <w:tc>
          <w:tcPr>
            <w:tcW w:w="2897" w:type="pct"/>
            <w:vAlign w:val="center"/>
          </w:tcPr>
          <w:p>
            <w:pPr>
              <w:adjustRightInd w:val="0"/>
              <w:snapToGrid w:val="0"/>
              <w:textAlignment w:val="center"/>
              <w:rPr>
                <w:sz w:val="21"/>
                <w:szCs w:val="21"/>
              </w:rPr>
            </w:pPr>
            <w:r>
              <w:rPr>
                <w:sz w:val="21"/>
                <w:szCs w:val="21"/>
              </w:rPr>
              <w:t>根据调查，本地块内历史上未曾涉及工矿企业用途、规模化畜禽养殖、有毒有害物质贮存或输送</w:t>
            </w:r>
          </w:p>
        </w:tc>
        <w:tc>
          <w:tcPr>
            <w:tcW w:w="361" w:type="pct"/>
            <w:vAlign w:val="center"/>
          </w:tcPr>
          <w:p>
            <w:pPr>
              <w:adjustRightInd w:val="0"/>
              <w:snapToGrid w:val="0"/>
              <w:jc w:val="center"/>
              <w:textAlignment w:val="cente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29" w:type="pct"/>
            <w:vAlign w:val="center"/>
          </w:tcPr>
          <w:p>
            <w:pPr>
              <w:adjustRightInd w:val="0"/>
              <w:snapToGrid w:val="0"/>
              <w:jc w:val="center"/>
              <w:textAlignment w:val="center"/>
              <w:rPr>
                <w:sz w:val="21"/>
                <w:szCs w:val="21"/>
              </w:rPr>
            </w:pPr>
            <w:r>
              <w:rPr>
                <w:sz w:val="21"/>
                <w:szCs w:val="21"/>
              </w:rPr>
              <w:t>2</w:t>
            </w:r>
          </w:p>
        </w:tc>
        <w:tc>
          <w:tcPr>
            <w:tcW w:w="1510" w:type="pct"/>
            <w:vAlign w:val="center"/>
          </w:tcPr>
          <w:p>
            <w:pPr>
              <w:adjustRightInd w:val="0"/>
              <w:snapToGrid w:val="0"/>
              <w:jc w:val="center"/>
              <w:textAlignment w:val="center"/>
              <w:rPr>
                <w:sz w:val="21"/>
                <w:szCs w:val="21"/>
              </w:rPr>
            </w:pPr>
            <w:r>
              <w:rPr>
                <w:sz w:val="21"/>
                <w:szCs w:val="21"/>
              </w:rPr>
              <w:t>历史上未曾涉及生态环境污染事故、废水排放、固体废物堆放、固体废物倾倒或填埋的</w:t>
            </w:r>
          </w:p>
        </w:tc>
        <w:tc>
          <w:tcPr>
            <w:tcW w:w="2897" w:type="pct"/>
            <w:vAlign w:val="center"/>
          </w:tcPr>
          <w:p>
            <w:pPr>
              <w:adjustRightInd w:val="0"/>
              <w:snapToGrid w:val="0"/>
              <w:textAlignment w:val="center"/>
              <w:rPr>
                <w:sz w:val="21"/>
                <w:szCs w:val="21"/>
              </w:rPr>
            </w:pPr>
            <w:r>
              <w:rPr>
                <w:sz w:val="21"/>
                <w:szCs w:val="21"/>
              </w:rPr>
              <w:t>根据生态环境主管部门的访谈，本地块内历史上未曾涉及生态环境污染事故、废水排放、固体废物堆放、固体废物倾倒或填埋</w:t>
            </w:r>
          </w:p>
        </w:tc>
        <w:tc>
          <w:tcPr>
            <w:tcW w:w="361" w:type="pct"/>
            <w:vAlign w:val="center"/>
          </w:tcPr>
          <w:p>
            <w:pPr>
              <w:adjustRightInd w:val="0"/>
              <w:snapToGrid w:val="0"/>
              <w:jc w:val="center"/>
              <w:textAlignment w:val="cente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29" w:type="pct"/>
            <w:vAlign w:val="center"/>
          </w:tcPr>
          <w:p>
            <w:pPr>
              <w:adjustRightInd w:val="0"/>
              <w:snapToGrid w:val="0"/>
              <w:jc w:val="center"/>
              <w:textAlignment w:val="center"/>
              <w:rPr>
                <w:sz w:val="21"/>
                <w:szCs w:val="21"/>
              </w:rPr>
            </w:pPr>
            <w:r>
              <w:rPr>
                <w:sz w:val="21"/>
                <w:szCs w:val="21"/>
              </w:rPr>
              <w:t>3</w:t>
            </w:r>
          </w:p>
        </w:tc>
        <w:tc>
          <w:tcPr>
            <w:tcW w:w="1510" w:type="pct"/>
            <w:vAlign w:val="center"/>
          </w:tcPr>
          <w:p>
            <w:pPr>
              <w:adjustRightInd w:val="0"/>
              <w:snapToGrid w:val="0"/>
              <w:jc w:val="center"/>
              <w:textAlignment w:val="center"/>
              <w:rPr>
                <w:sz w:val="21"/>
                <w:szCs w:val="21"/>
              </w:rPr>
            </w:pPr>
            <w:r>
              <w:rPr>
                <w:sz w:val="21"/>
                <w:szCs w:val="21"/>
              </w:rPr>
              <w:t>历史监测或调查表明不存在土壤或地下水污染的</w:t>
            </w:r>
          </w:p>
        </w:tc>
        <w:tc>
          <w:tcPr>
            <w:tcW w:w="2897" w:type="pct"/>
            <w:vAlign w:val="center"/>
          </w:tcPr>
          <w:p>
            <w:pPr>
              <w:adjustRightInd w:val="0"/>
              <w:snapToGrid w:val="0"/>
              <w:textAlignment w:val="center"/>
              <w:rPr>
                <w:sz w:val="21"/>
                <w:szCs w:val="21"/>
              </w:rPr>
            </w:pPr>
            <w:r>
              <w:rPr>
                <w:sz w:val="21"/>
                <w:szCs w:val="21"/>
              </w:rPr>
              <w:t>1.根据生态环境主管部门的访谈，本地块历史上不存在土壤和地下水污染；</w:t>
            </w:r>
          </w:p>
          <w:p>
            <w:pPr>
              <w:adjustRightInd w:val="0"/>
              <w:snapToGrid w:val="0"/>
              <w:textAlignment w:val="center"/>
              <w:rPr>
                <w:sz w:val="21"/>
                <w:szCs w:val="21"/>
              </w:rPr>
            </w:pPr>
            <w:r>
              <w:rPr>
                <w:sz w:val="21"/>
                <w:szCs w:val="21"/>
              </w:rPr>
              <w:t>2.</w:t>
            </w:r>
            <w:r>
              <w:rPr>
                <w:rFonts w:hint="eastAsia"/>
                <w:sz w:val="21"/>
                <w:szCs w:val="21"/>
              </w:rPr>
              <w:t>根据现场勘察</w:t>
            </w:r>
            <w:r>
              <w:rPr>
                <w:sz w:val="21"/>
                <w:szCs w:val="21"/>
              </w:rPr>
              <w:t>，相邻地块不存在土壤和地下水污染；</w:t>
            </w:r>
          </w:p>
          <w:p>
            <w:pPr>
              <w:adjustRightInd w:val="0"/>
              <w:snapToGrid w:val="0"/>
              <w:textAlignment w:val="center"/>
              <w:rPr>
                <w:sz w:val="21"/>
                <w:szCs w:val="21"/>
              </w:rPr>
            </w:pPr>
            <w:r>
              <w:rPr>
                <w:sz w:val="21"/>
                <w:szCs w:val="21"/>
              </w:rPr>
              <w:t>3.根据现场快筛检测结论，地块内土壤质量良好、无污染情况</w:t>
            </w:r>
          </w:p>
        </w:tc>
        <w:tc>
          <w:tcPr>
            <w:tcW w:w="361" w:type="pct"/>
            <w:vAlign w:val="center"/>
          </w:tcPr>
          <w:p>
            <w:pPr>
              <w:adjustRightInd w:val="0"/>
              <w:snapToGrid w:val="0"/>
              <w:jc w:val="center"/>
              <w:textAlignment w:val="cente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29" w:type="pct"/>
            <w:vAlign w:val="center"/>
          </w:tcPr>
          <w:p>
            <w:pPr>
              <w:adjustRightInd w:val="0"/>
              <w:snapToGrid w:val="0"/>
              <w:jc w:val="center"/>
              <w:textAlignment w:val="center"/>
              <w:rPr>
                <w:sz w:val="21"/>
                <w:szCs w:val="21"/>
              </w:rPr>
            </w:pPr>
            <w:r>
              <w:rPr>
                <w:sz w:val="21"/>
                <w:szCs w:val="21"/>
              </w:rPr>
              <w:t>4</w:t>
            </w:r>
          </w:p>
        </w:tc>
        <w:tc>
          <w:tcPr>
            <w:tcW w:w="1510" w:type="pct"/>
            <w:vAlign w:val="center"/>
          </w:tcPr>
          <w:p>
            <w:pPr>
              <w:adjustRightInd w:val="0"/>
              <w:snapToGrid w:val="0"/>
              <w:jc w:val="center"/>
              <w:textAlignment w:val="center"/>
              <w:rPr>
                <w:sz w:val="21"/>
                <w:szCs w:val="21"/>
              </w:rPr>
            </w:pPr>
            <w:r>
              <w:rPr>
                <w:sz w:val="21"/>
                <w:szCs w:val="21"/>
              </w:rPr>
              <w:t>现场检查或踏勘表明不存在土壤或地下水污染迹象的，或者不存在紧邻周边污染源直接影响的</w:t>
            </w:r>
          </w:p>
        </w:tc>
        <w:tc>
          <w:tcPr>
            <w:tcW w:w="2897" w:type="pct"/>
            <w:vAlign w:val="center"/>
          </w:tcPr>
          <w:p>
            <w:pPr>
              <w:adjustRightInd w:val="0"/>
              <w:snapToGrid w:val="0"/>
              <w:textAlignment w:val="center"/>
              <w:rPr>
                <w:sz w:val="21"/>
                <w:szCs w:val="21"/>
              </w:rPr>
            </w:pPr>
            <w:r>
              <w:rPr>
                <w:sz w:val="21"/>
                <w:szCs w:val="21"/>
              </w:rPr>
              <w:t>1.根据现场踏勘，地块内及相邻地块不存在土壤和地下水污染迹象；</w:t>
            </w:r>
          </w:p>
          <w:p>
            <w:pPr>
              <w:adjustRightInd w:val="0"/>
              <w:snapToGrid w:val="0"/>
              <w:textAlignment w:val="center"/>
              <w:rPr>
                <w:sz w:val="21"/>
                <w:szCs w:val="21"/>
              </w:rPr>
            </w:pPr>
            <w:r>
              <w:rPr>
                <w:sz w:val="21"/>
                <w:szCs w:val="21"/>
              </w:rPr>
              <w:t>2.根据调查，周边企业无重点污染行业、无土壤污染重点监管单位，且均无生产废水排放、无涉重废气排放；</w:t>
            </w:r>
          </w:p>
          <w:p>
            <w:pPr>
              <w:adjustRightInd w:val="0"/>
              <w:snapToGrid w:val="0"/>
              <w:textAlignment w:val="center"/>
              <w:rPr>
                <w:sz w:val="21"/>
                <w:szCs w:val="21"/>
              </w:rPr>
            </w:pPr>
            <w:r>
              <w:rPr>
                <w:sz w:val="21"/>
                <w:szCs w:val="21"/>
              </w:rPr>
              <w:t>3.根据现场踏勘，</w:t>
            </w:r>
            <w:r>
              <w:rPr>
                <w:rFonts w:hint="eastAsia"/>
                <w:sz w:val="21"/>
                <w:szCs w:val="21"/>
              </w:rPr>
              <w:t>地块周边100m范围内无工业企业，1km范围内无重污染工业企业</w:t>
            </w:r>
            <w:r>
              <w:rPr>
                <w:sz w:val="21"/>
                <w:szCs w:val="21"/>
              </w:rPr>
              <w:t>；</w:t>
            </w:r>
          </w:p>
          <w:p>
            <w:pPr>
              <w:adjustRightInd w:val="0"/>
              <w:snapToGrid w:val="0"/>
              <w:textAlignment w:val="center"/>
              <w:rPr>
                <w:sz w:val="21"/>
                <w:szCs w:val="21"/>
              </w:rPr>
            </w:pPr>
            <w:r>
              <w:rPr>
                <w:sz w:val="21"/>
                <w:szCs w:val="21"/>
              </w:rPr>
              <w:t>4.根据生态环境主管部门的访谈，周边企业未发生过环境违法事件、未发生过环境污染事件、未收到环境投诉事件；</w:t>
            </w:r>
          </w:p>
          <w:p>
            <w:pPr>
              <w:adjustRightInd w:val="0"/>
              <w:snapToGrid w:val="0"/>
              <w:textAlignment w:val="center"/>
              <w:rPr>
                <w:sz w:val="21"/>
                <w:szCs w:val="21"/>
              </w:rPr>
            </w:pPr>
            <w:r>
              <w:rPr>
                <w:sz w:val="21"/>
                <w:szCs w:val="21"/>
              </w:rPr>
              <w:t>5.根据现场快筛检测结论，地块内及周边最近企业厂房外土壤质量良好、无污染情况；</w:t>
            </w:r>
          </w:p>
          <w:p>
            <w:pPr>
              <w:pStyle w:val="2"/>
              <w:rPr>
                <w:rFonts w:ascii="Times New Roman" w:hAnsi="Times New Roman"/>
                <w:sz w:val="21"/>
                <w:szCs w:val="21"/>
              </w:rPr>
            </w:pPr>
            <w:r>
              <w:rPr>
                <w:rFonts w:ascii="Times New Roman" w:hAnsi="Times New Roman"/>
                <w:sz w:val="21"/>
                <w:szCs w:val="21"/>
              </w:rPr>
              <w:t>因此，本地块不存在紧邻周边污染源直接影响</w:t>
            </w:r>
          </w:p>
        </w:tc>
        <w:tc>
          <w:tcPr>
            <w:tcW w:w="361" w:type="pct"/>
            <w:vAlign w:val="center"/>
          </w:tcPr>
          <w:p>
            <w:pPr>
              <w:adjustRightInd w:val="0"/>
              <w:snapToGrid w:val="0"/>
              <w:jc w:val="center"/>
              <w:textAlignment w:val="cente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29" w:type="pct"/>
            <w:vAlign w:val="center"/>
          </w:tcPr>
          <w:p>
            <w:pPr>
              <w:adjustRightInd w:val="0"/>
              <w:snapToGrid w:val="0"/>
              <w:jc w:val="center"/>
              <w:textAlignment w:val="center"/>
              <w:rPr>
                <w:sz w:val="21"/>
                <w:szCs w:val="21"/>
              </w:rPr>
            </w:pPr>
            <w:r>
              <w:rPr>
                <w:sz w:val="21"/>
                <w:szCs w:val="21"/>
              </w:rPr>
              <w:t>5</w:t>
            </w:r>
          </w:p>
        </w:tc>
        <w:tc>
          <w:tcPr>
            <w:tcW w:w="1510" w:type="pct"/>
            <w:vAlign w:val="center"/>
          </w:tcPr>
          <w:p>
            <w:pPr>
              <w:adjustRightInd w:val="0"/>
              <w:snapToGrid w:val="0"/>
              <w:jc w:val="center"/>
              <w:textAlignment w:val="center"/>
              <w:rPr>
                <w:sz w:val="21"/>
                <w:szCs w:val="21"/>
              </w:rPr>
            </w:pPr>
            <w:r>
              <w:rPr>
                <w:sz w:val="21"/>
                <w:szCs w:val="21"/>
              </w:rPr>
              <w:t>相关用地历史、污染状况等资料齐全，能够排除污染可能性的</w:t>
            </w:r>
          </w:p>
        </w:tc>
        <w:tc>
          <w:tcPr>
            <w:tcW w:w="2897" w:type="pct"/>
            <w:vAlign w:val="center"/>
          </w:tcPr>
          <w:p>
            <w:pPr>
              <w:adjustRightInd w:val="0"/>
              <w:snapToGrid w:val="0"/>
              <w:textAlignment w:val="center"/>
              <w:rPr>
                <w:sz w:val="21"/>
                <w:szCs w:val="21"/>
              </w:rPr>
            </w:pPr>
            <w:r>
              <w:rPr>
                <w:sz w:val="21"/>
                <w:szCs w:val="21"/>
              </w:rPr>
              <w:t>1.根据生态环境主管部门的访谈，周边企业未发生过环境违法事件、未发生过环境污染事件、未收到环境投诉事件；</w:t>
            </w:r>
          </w:p>
          <w:p>
            <w:pPr>
              <w:adjustRightInd w:val="0"/>
              <w:snapToGrid w:val="0"/>
              <w:textAlignment w:val="center"/>
              <w:rPr>
                <w:sz w:val="21"/>
                <w:szCs w:val="21"/>
              </w:rPr>
            </w:pPr>
            <w:r>
              <w:rPr>
                <w:sz w:val="21"/>
                <w:szCs w:val="21"/>
              </w:rPr>
              <w:t>2.无相关土壤、水体污染记录资料；</w:t>
            </w:r>
          </w:p>
          <w:p>
            <w:pPr>
              <w:adjustRightInd w:val="0"/>
              <w:snapToGrid w:val="0"/>
              <w:textAlignment w:val="center"/>
              <w:rPr>
                <w:sz w:val="21"/>
                <w:szCs w:val="21"/>
              </w:rPr>
            </w:pPr>
            <w:r>
              <w:rPr>
                <w:sz w:val="21"/>
                <w:szCs w:val="21"/>
              </w:rPr>
              <w:t>3.</w:t>
            </w:r>
            <w:r>
              <w:rPr>
                <w:rFonts w:hint="eastAsia"/>
                <w:sz w:val="21"/>
                <w:szCs w:val="21"/>
              </w:rPr>
              <w:t>根据现场勘察</w:t>
            </w:r>
            <w:r>
              <w:rPr>
                <w:sz w:val="21"/>
                <w:szCs w:val="21"/>
              </w:rPr>
              <w:t>，相邻地块不存在土壤和地下水污染；</w:t>
            </w:r>
          </w:p>
          <w:p>
            <w:pPr>
              <w:adjustRightInd w:val="0"/>
              <w:snapToGrid w:val="0"/>
              <w:textAlignment w:val="center"/>
              <w:rPr>
                <w:sz w:val="21"/>
                <w:szCs w:val="21"/>
              </w:rPr>
            </w:pPr>
            <w:r>
              <w:rPr>
                <w:sz w:val="21"/>
                <w:szCs w:val="21"/>
              </w:rPr>
              <w:t>4.根据现场快筛检测结论，地块</w:t>
            </w:r>
            <w:r>
              <w:rPr>
                <w:rFonts w:hint="eastAsia"/>
                <w:sz w:val="21"/>
                <w:szCs w:val="21"/>
              </w:rPr>
              <w:t>内</w:t>
            </w:r>
            <w:r>
              <w:rPr>
                <w:sz w:val="21"/>
                <w:szCs w:val="21"/>
              </w:rPr>
              <w:t>土壤质量良好、无污染情况；</w:t>
            </w:r>
          </w:p>
          <w:p>
            <w:pPr>
              <w:adjustRightInd w:val="0"/>
              <w:snapToGrid w:val="0"/>
              <w:textAlignment w:val="center"/>
              <w:rPr>
                <w:sz w:val="21"/>
                <w:szCs w:val="21"/>
              </w:rPr>
            </w:pPr>
            <w:r>
              <w:rPr>
                <w:sz w:val="21"/>
                <w:szCs w:val="21"/>
              </w:rPr>
              <w:t>因此，能够排除本地块污染可能性</w:t>
            </w:r>
            <w:r>
              <w:rPr>
                <w:rFonts w:hint="eastAsia"/>
                <w:sz w:val="21"/>
                <w:szCs w:val="21"/>
              </w:rPr>
              <w:t>。</w:t>
            </w:r>
          </w:p>
        </w:tc>
        <w:tc>
          <w:tcPr>
            <w:tcW w:w="361" w:type="pct"/>
            <w:vAlign w:val="center"/>
          </w:tcPr>
          <w:p>
            <w:pPr>
              <w:adjustRightInd w:val="0"/>
              <w:snapToGrid w:val="0"/>
              <w:jc w:val="center"/>
              <w:textAlignment w:val="center"/>
              <w:rPr>
                <w:sz w:val="21"/>
                <w:szCs w:val="21"/>
              </w:rPr>
            </w:pPr>
            <w:r>
              <w:rPr>
                <w:sz w:val="21"/>
                <w:szCs w:val="21"/>
              </w:rPr>
              <w:t>符合</w:t>
            </w:r>
          </w:p>
        </w:tc>
      </w:tr>
    </w:tbl>
    <w:p>
      <w:pPr>
        <w:snapToGrid w:val="0"/>
        <w:spacing w:line="460" w:lineRule="exact"/>
        <w:ind w:firstLine="480" w:firstLineChars="200"/>
        <w:rPr>
          <w:snapToGrid w:val="0"/>
          <w:sz w:val="24"/>
        </w:rPr>
      </w:pPr>
      <w:r>
        <w:rPr>
          <w:snapToGrid w:val="0"/>
          <w:sz w:val="24"/>
        </w:rPr>
        <w:t>根据上述判断，本地块</w:t>
      </w:r>
      <w:r>
        <w:rPr>
          <w:sz w:val="24"/>
          <w:szCs w:val="24"/>
        </w:rPr>
        <w:t>及相邻地块</w:t>
      </w:r>
      <w:r>
        <w:rPr>
          <w:snapToGrid w:val="0"/>
          <w:sz w:val="24"/>
        </w:rPr>
        <w:t>原有的历史情况对地块造成的污染较小，不存在要求开展采样分析等后续调查工作的情形，因此本地块调查可结束于第一次阶段土壤污染状况调查，不需开展第二阶段土壤污染状况调查工作，直接用于</w:t>
      </w:r>
      <w:r>
        <w:rPr>
          <w:rFonts w:hint="eastAsia"/>
          <w:snapToGrid w:val="0"/>
          <w:sz w:val="24"/>
        </w:rPr>
        <w:t>居住用地</w:t>
      </w:r>
      <w:r>
        <w:rPr>
          <w:snapToGrid w:val="0"/>
          <w:sz w:val="24"/>
        </w:rPr>
        <w:t>开发是可行的。</w:t>
      </w:r>
    </w:p>
    <w:p>
      <w:pPr>
        <w:snapToGrid w:val="0"/>
        <w:spacing w:line="460" w:lineRule="exact"/>
        <w:ind w:firstLine="480" w:firstLineChars="200"/>
        <w:rPr>
          <w:snapToGrid w:val="0"/>
          <w:sz w:val="24"/>
        </w:rPr>
      </w:pPr>
      <w:r>
        <w:rPr>
          <w:snapToGrid w:val="0"/>
          <w:sz w:val="24"/>
        </w:rPr>
        <w:t>另外，要求在施工过程中密切关注异常情况，若发现新的污染情况应及时反馈，以最大程度的消除地块的潜在环境风险。</w:t>
      </w:r>
    </w:p>
    <w:p>
      <w:pPr>
        <w:snapToGrid w:val="0"/>
        <w:spacing w:line="440" w:lineRule="exact"/>
        <w:ind w:firstLine="480" w:firstLineChars="200"/>
        <w:rPr>
          <w:sz w:val="24"/>
          <w:szCs w:val="24"/>
        </w:rPr>
        <w:sectPr>
          <w:pgSz w:w="11906" w:h="16838"/>
          <w:pgMar w:top="1418" w:right="1418" w:bottom="1418" w:left="1418" w:header="850" w:footer="850" w:gutter="0"/>
          <w:pgNumType w:fmt="numberInDash"/>
          <w:cols w:space="720" w:num="1"/>
          <w:docGrid w:type="lines" w:linePitch="312" w:charSpace="0"/>
        </w:sectPr>
      </w:pPr>
    </w:p>
    <w:p>
      <w:pPr>
        <w:pStyle w:val="3"/>
        <w:spacing w:before="0" w:after="0" w:line="440" w:lineRule="exact"/>
        <w:rPr>
          <w:rFonts w:ascii="Times New Roman" w:hAnsi="Times New Roman"/>
          <w:bCs w:val="0"/>
          <w:kern w:val="2"/>
          <w:sz w:val="32"/>
          <w:szCs w:val="32"/>
        </w:rPr>
      </w:pPr>
      <w:bookmarkStart w:id="71" w:name="_Toc149642004"/>
      <w:r>
        <w:rPr>
          <w:rFonts w:ascii="Times New Roman" w:hAnsi="Times New Roman"/>
          <w:bCs w:val="0"/>
          <w:kern w:val="2"/>
          <w:sz w:val="32"/>
          <w:szCs w:val="32"/>
        </w:rPr>
        <w:t>7 结论与建议</w:t>
      </w:r>
      <w:bookmarkEnd w:id="71"/>
    </w:p>
    <w:p>
      <w:pPr>
        <w:pStyle w:val="116"/>
        <w:rPr>
          <w:rFonts w:ascii="Times New Roman" w:hAnsi="Times New Roman" w:eastAsia="宋体"/>
          <w:szCs w:val="28"/>
        </w:rPr>
      </w:pPr>
      <w:bookmarkStart w:id="72" w:name="_Toc149642005"/>
      <w:r>
        <w:rPr>
          <w:rFonts w:ascii="Times New Roman" w:hAnsi="Times New Roman" w:eastAsia="宋体"/>
          <w:szCs w:val="28"/>
        </w:rPr>
        <w:t>7.1 结论</w:t>
      </w:r>
      <w:bookmarkEnd w:id="72"/>
    </w:p>
    <w:p>
      <w:pPr>
        <w:spacing w:line="440" w:lineRule="exact"/>
        <w:ind w:firstLine="480" w:firstLineChars="200"/>
        <w:rPr>
          <w:sz w:val="24"/>
          <w:szCs w:val="24"/>
        </w:rPr>
      </w:pPr>
      <w:r>
        <w:rPr>
          <w:sz w:val="24"/>
          <w:szCs w:val="24"/>
        </w:rPr>
        <w:t>金华市婺城区婺城新区单元(ZX-15-01-19)地块占地63950.01m</w:t>
      </w:r>
      <w:r>
        <w:rPr>
          <w:sz w:val="24"/>
          <w:szCs w:val="24"/>
          <w:vertAlign w:val="superscript"/>
        </w:rPr>
        <w:t>2</w:t>
      </w:r>
      <w:r>
        <w:rPr>
          <w:sz w:val="24"/>
          <w:szCs w:val="24"/>
        </w:rPr>
        <w:t>，位于东堰街以东、东俞路以南、金江南街以西、横三路以北</w:t>
      </w:r>
      <w:r>
        <w:rPr>
          <w:rFonts w:hint="eastAsia"/>
          <w:sz w:val="24"/>
          <w:szCs w:val="24"/>
        </w:rPr>
        <w:t>。</w:t>
      </w:r>
      <w:r>
        <w:rPr>
          <w:sz w:val="24"/>
          <w:szCs w:val="24"/>
        </w:rPr>
        <w:t>地块</w:t>
      </w:r>
      <w:r>
        <w:rPr>
          <w:rFonts w:hint="eastAsia"/>
          <w:sz w:val="24"/>
          <w:szCs w:val="24"/>
        </w:rPr>
        <w:t>东至东俞村耕地，隔耕地为东俞村；南至东俞村荒地，隔荒地为临江东路；西至东俞村荒地，隔荒地为地表水白沙溪；北至东俞村耕地和池塘</w:t>
      </w:r>
      <w:r>
        <w:rPr>
          <w:sz w:val="24"/>
          <w:szCs w:val="24"/>
        </w:rPr>
        <w:t>，地块中心地理坐标为29.101940°N，119.556952°E。目前地块内已</w:t>
      </w:r>
      <w:r>
        <w:rPr>
          <w:rFonts w:hint="eastAsia"/>
          <w:sz w:val="24"/>
          <w:szCs w:val="24"/>
        </w:rPr>
        <w:t>开展</w:t>
      </w:r>
      <w:r>
        <w:rPr>
          <w:sz w:val="24"/>
          <w:szCs w:val="24"/>
        </w:rPr>
        <w:t>施工</w:t>
      </w:r>
      <w:r>
        <w:rPr>
          <w:rFonts w:hint="eastAsia"/>
          <w:sz w:val="24"/>
          <w:szCs w:val="24"/>
        </w:rPr>
        <w:t>平整</w:t>
      </w:r>
      <w:r>
        <w:rPr>
          <w:sz w:val="24"/>
          <w:szCs w:val="24"/>
        </w:rPr>
        <w:t>，</w:t>
      </w:r>
      <w:r>
        <w:rPr>
          <w:rFonts w:hint="eastAsia"/>
          <w:sz w:val="24"/>
          <w:szCs w:val="24"/>
        </w:rPr>
        <w:t>部分</w:t>
      </w:r>
      <w:r>
        <w:rPr>
          <w:sz w:val="24"/>
        </w:rPr>
        <w:t>表层土已被开挖</w:t>
      </w:r>
      <w:r>
        <w:rPr>
          <w:sz w:val="24"/>
          <w:szCs w:val="24"/>
        </w:rPr>
        <w:t>。根据《金华市婺城区婺城新区单元(ZX-15-01-19)地块</w:t>
      </w:r>
      <w:r>
        <w:rPr>
          <w:rFonts w:hint="eastAsia"/>
          <w:sz w:val="24"/>
          <w:szCs w:val="24"/>
        </w:rPr>
        <w:t>规划条件书</w:t>
      </w:r>
      <w:r>
        <w:rPr>
          <w:sz w:val="24"/>
          <w:szCs w:val="24"/>
        </w:rPr>
        <w:t>》(</w:t>
      </w:r>
      <w:r>
        <w:rPr>
          <w:rFonts w:hint="eastAsia"/>
          <w:sz w:val="24"/>
          <w:szCs w:val="24"/>
        </w:rPr>
        <w:t>金自然资规条3</w:t>
      </w:r>
      <w:r>
        <w:rPr>
          <w:sz w:val="24"/>
          <w:szCs w:val="24"/>
        </w:rPr>
        <w:t>30703202300044</w:t>
      </w:r>
      <w:r>
        <w:rPr>
          <w:rFonts w:hint="eastAsia"/>
          <w:sz w:val="24"/>
          <w:szCs w:val="24"/>
        </w:rPr>
        <w:t>号</w:t>
      </w:r>
      <w:r>
        <w:rPr>
          <w:sz w:val="24"/>
          <w:szCs w:val="24"/>
        </w:rPr>
        <w:t>)，本地块规划用地性质为</w:t>
      </w:r>
      <w:r>
        <w:rPr>
          <w:rFonts w:hint="eastAsia"/>
          <w:sz w:val="24"/>
          <w:szCs w:val="24"/>
        </w:rPr>
        <w:t>二类居住用地</w:t>
      </w:r>
      <w:r>
        <w:rPr>
          <w:sz w:val="24"/>
          <w:szCs w:val="24"/>
        </w:rPr>
        <w:t>(R2)</w:t>
      </w:r>
      <w:r>
        <w:rPr>
          <w:rFonts w:hint="eastAsia"/>
          <w:sz w:val="24"/>
          <w:szCs w:val="24"/>
        </w:rPr>
        <w:t>和地下人民防空设施(UG25)</w:t>
      </w:r>
      <w:r>
        <w:rPr>
          <w:sz w:val="24"/>
          <w:szCs w:val="24"/>
        </w:rPr>
        <w:t>。</w:t>
      </w:r>
    </w:p>
    <w:p>
      <w:pPr>
        <w:spacing w:line="440" w:lineRule="exact"/>
        <w:ind w:firstLine="480" w:firstLineChars="200"/>
        <w:rPr>
          <w:sz w:val="24"/>
          <w:szCs w:val="24"/>
        </w:rPr>
      </w:pPr>
      <w:r>
        <w:rPr>
          <w:sz w:val="24"/>
          <w:szCs w:val="24"/>
        </w:rPr>
        <w:t>金华市婺城区婺城新区单元(ZX-15-01-19)地块在2011年以前</w:t>
      </w:r>
      <w:r>
        <w:rPr>
          <w:rFonts w:hint="eastAsia"/>
          <w:sz w:val="24"/>
          <w:szCs w:val="24"/>
        </w:rPr>
        <w:t>以种植水稻为主</w:t>
      </w:r>
      <w:r>
        <w:rPr>
          <w:sz w:val="24"/>
          <w:szCs w:val="24"/>
        </w:rPr>
        <w:t>；2011年~2023年期间</w:t>
      </w:r>
      <w:r>
        <w:rPr>
          <w:rFonts w:hint="eastAsia"/>
          <w:sz w:val="24"/>
          <w:szCs w:val="24"/>
        </w:rPr>
        <w:t>部分土地</w:t>
      </w:r>
      <w:r>
        <w:rPr>
          <w:sz w:val="24"/>
          <w:szCs w:val="24"/>
        </w:rPr>
        <w:t>种植林木</w:t>
      </w:r>
      <w:r>
        <w:rPr>
          <w:rFonts w:hint="eastAsia"/>
          <w:sz w:val="24"/>
          <w:szCs w:val="24"/>
        </w:rPr>
        <w:t>和时蔬，部分土地为荒地和池塘</w:t>
      </w:r>
      <w:r>
        <w:rPr>
          <w:sz w:val="24"/>
          <w:szCs w:val="24"/>
        </w:rPr>
        <w:t>；2023年9月开始进行施工</w:t>
      </w:r>
      <w:r>
        <w:rPr>
          <w:rFonts w:hint="eastAsia"/>
          <w:sz w:val="24"/>
          <w:szCs w:val="24"/>
        </w:rPr>
        <w:t>平整土地</w:t>
      </w:r>
      <w:r>
        <w:rPr>
          <w:sz w:val="24"/>
          <w:shd w:val="clear" w:color="auto" w:fill="FFFFFF"/>
        </w:rPr>
        <w:t>。</w:t>
      </w:r>
    </w:p>
    <w:p>
      <w:pPr>
        <w:spacing w:line="440" w:lineRule="exact"/>
        <w:ind w:firstLine="480" w:firstLineChars="200"/>
        <w:rPr>
          <w:sz w:val="24"/>
          <w:szCs w:val="24"/>
        </w:rPr>
      </w:pPr>
      <w:r>
        <w:rPr>
          <w:sz w:val="24"/>
          <w:szCs w:val="24"/>
        </w:rPr>
        <w:t>目前，地块</w:t>
      </w:r>
      <w:r>
        <w:rPr>
          <w:rFonts w:hint="eastAsia"/>
          <w:sz w:val="24"/>
          <w:szCs w:val="24"/>
        </w:rPr>
        <w:t>相邻</w:t>
      </w:r>
      <w:r>
        <w:rPr>
          <w:sz w:val="24"/>
          <w:szCs w:val="24"/>
        </w:rPr>
        <w:t>东侧</w:t>
      </w:r>
      <w:r>
        <w:rPr>
          <w:rFonts w:hint="eastAsia"/>
          <w:sz w:val="24"/>
          <w:szCs w:val="24"/>
        </w:rPr>
        <w:t>以耕地为主</w:t>
      </w:r>
      <w:r>
        <w:rPr>
          <w:sz w:val="24"/>
          <w:szCs w:val="24"/>
        </w:rPr>
        <w:t>，相邻南侧</w:t>
      </w:r>
      <w:r>
        <w:rPr>
          <w:rFonts w:hint="eastAsia"/>
          <w:sz w:val="24"/>
          <w:szCs w:val="24"/>
        </w:rPr>
        <w:t>和西侧</w:t>
      </w:r>
      <w:r>
        <w:rPr>
          <w:sz w:val="24"/>
          <w:szCs w:val="24"/>
        </w:rPr>
        <w:t>为</w:t>
      </w:r>
      <w:r>
        <w:rPr>
          <w:rFonts w:hint="eastAsia"/>
          <w:sz w:val="24"/>
          <w:szCs w:val="24"/>
        </w:rPr>
        <w:t>荒地为主，相邻北侧以耕地和池塘为主</w:t>
      </w:r>
      <w:r>
        <w:rPr>
          <w:sz w:val="24"/>
          <w:szCs w:val="24"/>
        </w:rPr>
        <w:t>。相邻地块历史上主要是耕地、荒地和池塘。地块</w:t>
      </w:r>
      <w:r>
        <w:rPr>
          <w:rFonts w:hint="eastAsia"/>
          <w:sz w:val="24"/>
          <w:szCs w:val="24"/>
        </w:rPr>
        <w:t>周边</w:t>
      </w:r>
      <w:r>
        <w:rPr>
          <w:sz w:val="24"/>
          <w:szCs w:val="24"/>
        </w:rPr>
        <w:t>100m</w:t>
      </w:r>
      <w:r>
        <w:rPr>
          <w:rFonts w:hint="eastAsia"/>
          <w:sz w:val="24"/>
          <w:szCs w:val="24"/>
        </w:rPr>
        <w:t>范围内无</w:t>
      </w:r>
      <w:r>
        <w:rPr>
          <w:sz w:val="24"/>
          <w:szCs w:val="24"/>
        </w:rPr>
        <w:t>工业企业</w:t>
      </w:r>
      <w:r>
        <w:rPr>
          <w:rFonts w:hint="eastAsia"/>
          <w:sz w:val="24"/>
          <w:szCs w:val="24"/>
        </w:rPr>
        <w:t>，1k</w:t>
      </w:r>
      <w:r>
        <w:rPr>
          <w:sz w:val="24"/>
          <w:szCs w:val="24"/>
        </w:rPr>
        <w:t>m</w:t>
      </w:r>
      <w:r>
        <w:rPr>
          <w:rFonts w:hint="eastAsia"/>
          <w:sz w:val="24"/>
          <w:szCs w:val="24"/>
        </w:rPr>
        <w:t>范围内无重污染</w:t>
      </w:r>
      <w:r>
        <w:rPr>
          <w:sz w:val="24"/>
          <w:szCs w:val="24"/>
        </w:rPr>
        <w:t>工业企业。</w:t>
      </w:r>
    </w:p>
    <w:p>
      <w:pPr>
        <w:widowControl/>
        <w:spacing w:line="440" w:lineRule="exact"/>
        <w:ind w:firstLine="480" w:firstLineChars="200"/>
        <w:rPr>
          <w:sz w:val="24"/>
          <w:szCs w:val="24"/>
        </w:rPr>
      </w:pPr>
      <w:r>
        <w:rPr>
          <w:sz w:val="24"/>
          <w:szCs w:val="24"/>
        </w:rPr>
        <w:t>对照《浙江省建设用地土壤污染风险管控和修复监督管理办法》(浙环发[2021]21号)第十四条，本地块及相邻地块原有的历史情况对地块造成的污染较小，不存在要求开展采样分析等后续调查工作的情形。故判定本地块调查可结束于第一次阶段土壤污染状况调查，不需开展第二阶段土壤污染状况调查工作，直接用于</w:t>
      </w:r>
      <w:r>
        <w:rPr>
          <w:rFonts w:hint="eastAsia"/>
          <w:sz w:val="24"/>
          <w:szCs w:val="24"/>
        </w:rPr>
        <w:t>居住用地</w:t>
      </w:r>
      <w:r>
        <w:rPr>
          <w:sz w:val="24"/>
          <w:szCs w:val="24"/>
        </w:rPr>
        <w:t>开发是可行的。</w:t>
      </w:r>
    </w:p>
    <w:p>
      <w:pPr>
        <w:pStyle w:val="116"/>
        <w:rPr>
          <w:rFonts w:ascii="Times New Roman" w:hAnsi="Times New Roman" w:eastAsia="宋体"/>
          <w:b w:val="0"/>
          <w:szCs w:val="28"/>
        </w:rPr>
      </w:pPr>
      <w:bookmarkStart w:id="73" w:name="_Toc149642006"/>
      <w:r>
        <w:rPr>
          <w:rFonts w:ascii="Times New Roman" w:hAnsi="Times New Roman" w:eastAsia="宋体"/>
          <w:szCs w:val="28"/>
        </w:rPr>
        <w:t>7.2 建议</w:t>
      </w:r>
      <w:bookmarkEnd w:id="73"/>
    </w:p>
    <w:p>
      <w:pPr>
        <w:spacing w:line="440" w:lineRule="exact"/>
        <w:ind w:firstLine="480" w:firstLineChars="200"/>
        <w:rPr>
          <w:sz w:val="24"/>
        </w:rPr>
      </w:pPr>
      <w:r>
        <w:rPr>
          <w:sz w:val="24"/>
        </w:rPr>
        <w:t>基于本次调查结果，提出以下几点建议：</w:t>
      </w:r>
    </w:p>
    <w:p>
      <w:pPr>
        <w:spacing w:line="440" w:lineRule="exact"/>
        <w:ind w:firstLine="480" w:firstLineChars="200"/>
        <w:rPr>
          <w:sz w:val="24"/>
        </w:rPr>
      </w:pPr>
      <w:r>
        <w:rPr>
          <w:sz w:val="24"/>
        </w:rPr>
        <w:t>(1)建议在建筑施工期间保护场地不被外界人为环境污染。控制该地块保持现有的良好状态，杜绝地块在调查期与接下来再开发利用的监管真空，防止出现人为倾倒固废、偷排工业废水等现象。</w:t>
      </w:r>
    </w:p>
    <w:p>
      <w:pPr>
        <w:spacing w:line="440" w:lineRule="exact"/>
        <w:ind w:firstLine="480" w:firstLineChars="200"/>
        <w:rPr>
          <w:sz w:val="24"/>
        </w:rPr>
      </w:pPr>
      <w:r>
        <w:rPr>
          <w:sz w:val="24"/>
        </w:rPr>
        <w:t>(2)在地块未来开发建设过程中需要观察是否有在调查阶段中没有被发现的污染，若发现疑似污染土壤或不明物质，建议进行补充调查，并采取相应的环保措施，不得随意处置。</w:t>
      </w:r>
    </w:p>
    <w:p>
      <w:pPr>
        <w:spacing w:line="440" w:lineRule="exact"/>
        <w:ind w:firstLine="480" w:firstLineChars="200"/>
        <w:rPr>
          <w:sz w:val="24"/>
        </w:rPr>
      </w:pPr>
      <w:r>
        <w:rPr>
          <w:sz w:val="24"/>
        </w:rPr>
        <w:t>(3)土壤污染由于具有发现难、修复难、影响范围广等特点，因此，地块后续开发利用过程中应采取土壤保护措施，如地面采取防腐防渗措施等，保护土壤不被污染。</w:t>
      </w:r>
    </w:p>
    <w:p>
      <w:pPr>
        <w:pStyle w:val="2"/>
        <w:rPr>
          <w:rFonts w:ascii="Times New Roman" w:hAnsi="Times New Roman"/>
        </w:rPr>
        <w:sectPr>
          <w:pgSz w:w="11906" w:h="16838"/>
          <w:pgMar w:top="1418" w:right="1418" w:bottom="1418" w:left="1418" w:header="850" w:footer="850" w:gutter="0"/>
          <w:pgNumType w:fmt="numberInDash"/>
          <w:cols w:space="720" w:num="1"/>
          <w:docGrid w:type="lines" w:linePitch="312" w:charSpace="0"/>
        </w:sectPr>
      </w:pPr>
    </w:p>
    <w:p>
      <w:pPr>
        <w:pStyle w:val="3"/>
        <w:spacing w:before="0" w:after="0" w:line="440" w:lineRule="exact"/>
        <w:rPr>
          <w:rFonts w:ascii="Times New Roman" w:hAnsi="Times New Roman"/>
          <w:sz w:val="32"/>
          <w:szCs w:val="32"/>
        </w:rPr>
      </w:pPr>
      <w:bookmarkStart w:id="74" w:name="_Toc149642007"/>
      <w:r>
        <w:rPr>
          <w:rFonts w:ascii="Times New Roman" w:hAnsi="Times New Roman"/>
          <w:bCs w:val="0"/>
          <w:kern w:val="2"/>
          <w:sz w:val="32"/>
          <w:szCs w:val="32"/>
        </w:rPr>
        <w:t>8 不确定性分析</w:t>
      </w:r>
      <w:bookmarkEnd w:id="74"/>
    </w:p>
    <w:p>
      <w:pPr>
        <w:spacing w:line="440" w:lineRule="exact"/>
        <w:ind w:firstLine="480" w:firstLineChars="200"/>
        <w:rPr>
          <w:sz w:val="24"/>
        </w:rPr>
      </w:pPr>
      <w:r>
        <w:rPr>
          <w:sz w:val="24"/>
        </w:rPr>
        <w:t>地块调查过程可能受到多种因素的影响，从而给调查结果带来一定的不确定性。影响本次地块调查结果的不确定性因素主要为：</w:t>
      </w:r>
    </w:p>
    <w:p>
      <w:pPr>
        <w:spacing w:line="440" w:lineRule="exact"/>
        <w:ind w:firstLine="480" w:firstLineChars="200"/>
        <w:rPr>
          <w:sz w:val="24"/>
        </w:rPr>
      </w:pPr>
      <w:r>
        <w:rPr>
          <w:sz w:val="24"/>
        </w:rPr>
        <w:t>(1)在地块的调查过程中，地块资料收集的完备程度影响土壤分析调查的结果，地块历史资料记录的时效性和准确性也将影响土壤分析调查的结果。</w:t>
      </w:r>
    </w:p>
    <w:p>
      <w:pPr>
        <w:spacing w:line="440" w:lineRule="exact"/>
        <w:ind w:firstLine="480" w:firstLineChars="200"/>
        <w:rPr>
          <w:sz w:val="24"/>
        </w:rPr>
      </w:pPr>
      <w:r>
        <w:rPr>
          <w:sz w:val="24"/>
        </w:rPr>
        <w:t>(2)土壤存在异质情况，本身存在一定的不均一性，污染物在地块内的空间分布通常也缺乏连续性，大尺度范围内污染物分布均存在差异，不同污染物在不同地层或土壤中分布的规律差异性较大，可能对调查结果产生一定的不确定性。</w:t>
      </w:r>
    </w:p>
    <w:p>
      <w:pPr>
        <w:spacing w:line="440" w:lineRule="exact"/>
        <w:ind w:firstLine="480" w:firstLineChars="200"/>
        <w:rPr>
          <w:sz w:val="24"/>
        </w:rPr>
      </w:pPr>
      <w:r>
        <w:rPr>
          <w:sz w:val="24"/>
        </w:rPr>
        <w:t>(3)由于各地块之间存在污染物迁移扩散的可能性，尤其是地块之间地下水的物质交换，故各场地之间存在交叉污染的可能性；且污染物随时空变化时，其形态及浓度均会发生一定的变化，故此次调查评价结论只代表调查期间地块的环境现状。</w:t>
      </w:r>
    </w:p>
    <w:p>
      <w:pPr>
        <w:spacing w:line="440" w:lineRule="exact"/>
        <w:ind w:firstLine="480" w:firstLineChars="200"/>
        <w:rPr>
          <w:sz w:val="24"/>
        </w:rPr>
      </w:pPr>
      <w:r>
        <w:rPr>
          <w:sz w:val="24"/>
        </w:rPr>
        <w:t>(4)本次调查通过对知情人员的访谈及历史影像图分析，尽可能获取地块内及周边历史情况，但无法全部体现地块及周边几十年的详细使用情况，因此掌握的信息存在一定的不完整性，对周边企业污染源分析存在一定的不确定性。</w:t>
      </w:r>
    </w:p>
    <w:p>
      <w:pPr>
        <w:spacing w:line="440" w:lineRule="exact"/>
        <w:ind w:firstLine="480" w:firstLineChars="200"/>
        <w:rPr>
          <w:sz w:val="24"/>
        </w:rPr>
      </w:pPr>
      <w:r>
        <w:rPr>
          <w:rFonts w:hint="eastAsia"/>
          <w:sz w:val="24"/>
        </w:rPr>
        <w:t>(5)在地块开发建设过程中，发现疑似土壤污染的情况，需向当地生态环境及土地管理部门报告，采取必要的现场保护措施，根据主管部门的意见采取补充调查，并根据调查结果采取相应的处置措施。</w:t>
      </w:r>
    </w:p>
    <w:p>
      <w:pPr>
        <w:spacing w:line="440" w:lineRule="exact"/>
        <w:ind w:firstLine="480" w:firstLineChars="200"/>
        <w:rPr>
          <w:sz w:val="24"/>
        </w:rPr>
      </w:pPr>
      <w:r>
        <w:rPr>
          <w:sz w:val="24"/>
        </w:rPr>
        <w:t>综上，虽然本次调查存在一定不确定性，但总体分析来看，这些不确定因素对调查结论影响是可控的，不影响调查的总体结论。</w:t>
      </w:r>
    </w:p>
    <w:bookmarkEnd w:id="21"/>
    <w:p>
      <w:pPr>
        <w:pStyle w:val="2"/>
        <w:outlineLvl w:val="0"/>
        <w:rPr>
          <w:rFonts w:ascii="Times New Roman" w:hAnsi="Times New Roman"/>
          <w:b/>
          <w:bCs/>
          <w:sz w:val="28"/>
          <w:szCs w:val="28"/>
        </w:rPr>
        <w:sectPr>
          <w:headerReference r:id="rId8" w:type="default"/>
          <w:footerReference r:id="rId9" w:type="default"/>
          <w:pgSz w:w="11906" w:h="16838"/>
          <w:pgMar w:top="1418" w:right="1418" w:bottom="1418" w:left="1418" w:header="851" w:footer="992" w:gutter="0"/>
          <w:pgNumType w:fmt="numberInDash"/>
          <w:cols w:space="720" w:num="1"/>
          <w:docGrid w:type="lines" w:linePitch="312" w:charSpace="0"/>
        </w:sectPr>
      </w:pPr>
    </w:p>
    <w:p>
      <w:pPr>
        <w:pStyle w:val="2"/>
        <w:rPr>
          <w:rFonts w:hint="default"/>
          <w:lang w:val="en-US" w:eastAsia="zh-CN"/>
        </w:rPr>
      </w:pPr>
    </w:p>
    <w:sectPr>
      <w:footerReference r:id="rId10" w:type="default"/>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PMingLiU">
    <w:altName w:val="Microsoft JhengHei UI"/>
    <w:panose1 w:val="02010601000101010101"/>
    <w:charset w:val="88"/>
    <w:family w:val="roman"/>
    <w:pitch w:val="default"/>
    <w:sig w:usb0="00000000" w:usb1="00000000" w:usb2="00000016" w:usb3="00000000" w:csb0="00100001" w:csb1="00000000"/>
  </w:font>
  <w:font w:name="Arial Unicode MS">
    <w:altName w:val="宋体"/>
    <w:panose1 w:val="020B0604020202020204"/>
    <w:charset w:val="86"/>
    <w:family w:val="auto"/>
    <w:pitch w:val="default"/>
    <w:sig w:usb0="00000000" w:usb1="00000000" w:usb2="0000003F" w:usb3="00000000" w:csb0="603F01FF" w:csb1="FFFF0000"/>
  </w:font>
  <w:font w:name="TimesNewRomanPSMT">
    <w:altName w:val="Times New Roman"/>
    <w:panose1 w:val="00000000000000000000"/>
    <w:charset w:val="00"/>
    <w:family w:val="roman"/>
    <w:pitch w:val="default"/>
    <w:sig w:usb0="00000000" w:usb1="00000000" w:usb2="00000000" w:usb3="00000000" w:csb0="00000000" w:csb1="00000000"/>
  </w:font>
  <w:font w:name="Verdana">
    <w:panose1 w:val="020B0604030504040204"/>
    <w:charset w:val="00"/>
    <w:family w:val="swiss"/>
    <w:pitch w:val="default"/>
    <w:sig w:usb0="A00006FF" w:usb1="4000205B" w:usb2="00000010" w:usb3="00000000" w:csb0="2000019F" w:csb1="00000000"/>
  </w:font>
  <w:font w:name="仿宋体">
    <w:altName w:val="宋体"/>
    <w:panose1 w:val="00000000000000000000"/>
    <w:charset w:val="86"/>
    <w:family w:val="swiss"/>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Noto Sans CJK JP Black">
    <w:altName w:val="Arial"/>
    <w:panose1 w:val="00000000000000000000"/>
    <w:charset w:val="00"/>
    <w:family w:val="auto"/>
    <w:pitch w:val="default"/>
    <w:sig w:usb0="00000000" w:usb1="00000000" w:usb2="00000000" w:usb3="00000000" w:csb0="00040001"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MS Mincho">
    <w:altName w:val="Yu Gothic UI"/>
    <w:panose1 w:val="02020609040205080304"/>
    <w:charset w:val="80"/>
    <w:family w:val="modern"/>
    <w:pitch w:val="default"/>
    <w:sig w:usb0="00000000" w:usb1="00000000" w:usb2="08000012" w:usb3="00000000" w:csb0="0002009F" w:csb1="00000000"/>
  </w:font>
  <w:font w:name="Microsoft JhengHei UI">
    <w:panose1 w:val="020B0604030504040204"/>
    <w:charset w:val="88"/>
    <w:family w:val="auto"/>
    <w:pitch w:val="default"/>
    <w:sig w:usb0="000002A7" w:usb1="28CF4400" w:usb2="00000016" w:usb3="00000000" w:csb0="00100009"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both"/>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07" name="文本框 3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18jGc0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dfIxnNAIAAGUEAAAOAAAAAAAAAAEAIAAAAB8BAABkcnMvZTJvRG9jLnhtbFBL&#10;BQYAAAAABgAGAFkBAADFBQ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w:fldChar w:fldCharType="begin"/>
    </w:r>
    <w:r>
      <w:instrText xml:space="preserve">PAGE   \* MERGEFORMAT</w:instrText>
    </w:r>
    <w:r>
      <w:fldChar w:fldCharType="separate"/>
    </w:r>
    <w:r>
      <w:rPr>
        <w:lang w:val="zh-CN"/>
      </w:rPr>
      <w:t>-</w:t>
    </w:r>
    <w:r>
      <w:t xml:space="preserve"> 58 -</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L</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L</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5" name="文本框 2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6"/>
                          </w:pPr>
                          <w:r>
                            <w:fldChar w:fldCharType="begin"/>
                          </w:r>
                          <w:r>
                            <w:instrText xml:space="preserve"> PAGE  \* MERGEFORMAT </w:instrText>
                          </w:r>
                          <w:r>
                            <w:fldChar w:fldCharType="separate"/>
                          </w:r>
                          <w:r>
                            <w:t>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APGTh8oBAACdAwAADgAAAAAAAAABACAAAAAeAQAAZHJzL2Uyb0Rv&#10;Yy54bWxQSwUGAAAAAAYABgBZAQAAWgUAAAAA&#10;">
              <v:fill on="f" focussize="0,0"/>
              <v:stroke on="f"/>
              <v:imagedata o:title=""/>
              <o:lock v:ext="edit" aspectratio="f"/>
              <v:textbox inset="0mm,0mm,0mm,0mm" style="mso-fit-shape-to-text:t;">
                <w:txbxContent>
                  <w:p>
                    <w:pPr>
                      <w:pStyle w:val="26"/>
                    </w:pPr>
                    <w:r>
                      <w:fldChar w:fldCharType="begin"/>
                    </w:r>
                    <w:r>
                      <w:instrText xml:space="preserve"> PAGE  \* MERGEFORMAT </w:instrText>
                    </w:r>
                    <w:r>
                      <w:fldChar w:fldCharType="separate"/>
                    </w:r>
                    <w:r>
                      <w:t>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left"/>
    </w:pPr>
    <w:r>
      <w:rPr>
        <w:rFonts w:hint="eastAsia" w:ascii="Arial" w:cs="Arial"/>
      </w:rPr>
      <w:t>永兴路北侧地块(原欧华制衣、盛龙电子及吴淞建设地块)</w:t>
    </w:r>
    <w:r>
      <w:rPr>
        <w:rFonts w:hint="eastAsia" w:ascii="Arial" w:cs="Arial"/>
        <w:color w:val="FF0000"/>
      </w:rPr>
      <w:t>土壤污染状况</w:t>
    </w:r>
    <w:r>
      <w:rPr>
        <w:rFonts w:hint="eastAsia" w:ascii="Arial" w:cs="Arial"/>
      </w:rPr>
      <w:t>调查监测</w:t>
    </w:r>
    <w:r>
      <w:rPr>
        <w:rFonts w:ascii="Arial" w:cs="Arial"/>
      </w:rPr>
      <w:t>方案</w:t>
    </w:r>
    <w:r>
      <w:rPr>
        <w:rFonts w:ascii="Arial" w:hAnsi="Arial" w:cs="Arial"/>
      </w:rPr>
      <w:t xml:space="preserve"> </w:t>
    </w:r>
    <w:r>
      <w:rPr>
        <w:rFonts w:hint="eastAsia" w:ascii="Arial" w:hAnsi="Arial" w:cs="Arial"/>
      </w:rPr>
      <w:t xml:space="preserve">                   </w:t>
    </w:r>
    <w:r>
      <w:rPr>
        <w:rFonts w:ascii="Arial" w:hAnsi="Arial" w:cs="Arial"/>
      </w:rPr>
      <w:t xml:space="preserve">             </w:t>
    </w:r>
    <w:r>
      <w:rPr>
        <w:rFonts w:ascii="Arial" w:hAnsi="Arial" w:cs="Arial"/>
      </w:rPr>
      <w:fldChar w:fldCharType="begin"/>
    </w:r>
    <w:r>
      <w:rPr>
        <w:rFonts w:ascii="Arial" w:hAnsi="Arial" w:cs="Arial"/>
      </w:rPr>
      <w:instrText xml:space="preserve"> PAGE   \* MERGEFORMAT </w:instrText>
    </w:r>
    <w:r>
      <w:rPr>
        <w:rFonts w:ascii="Arial" w:hAnsi="Arial" w:cs="Arial"/>
      </w:rPr>
      <w:fldChar w:fldCharType="separate"/>
    </w:r>
    <w:r>
      <w:t>XXXIII</w:t>
    </w:r>
    <w:r>
      <w:rPr>
        <w:rFonts w:ascii="Arial" w:hAnsi="Arial" w:cs="Aria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t>金华市婺城区婺城新区单元(ZX-15-01-19)地块第一阶段土壤污染状况调查报告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9B338B"/>
    <w:multiLevelType w:val="multilevel"/>
    <w:tmpl w:val="059B338B"/>
    <w:lvl w:ilvl="0" w:tentative="0">
      <w:start w:val="1"/>
      <w:numFmt w:val="decimal"/>
      <w:suff w:val="nothing"/>
      <w:lvlText w:val="S%1"/>
      <w:lvlJc w:val="left"/>
      <w:pPr>
        <w:ind w:left="0" w:firstLine="0"/>
      </w:pPr>
      <w:rPr>
        <w:rFonts w:hint="default" w:ascii="Times New Roman" w:hAnsi="Times New Roman" w:cs="Times New Roman"/>
        <w:b/>
        <w:bCs/>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7DF340B"/>
    <w:multiLevelType w:val="multilevel"/>
    <w:tmpl w:val="07DF340B"/>
    <w:lvl w:ilvl="0" w:tentative="0">
      <w:start w:val="1"/>
      <w:numFmt w:val="decimal"/>
      <w:lvlText w:val="%1)"/>
      <w:lvlJc w:val="left"/>
      <w:pPr>
        <w:ind w:left="900" w:hanging="420"/>
      </w:pPr>
    </w:lvl>
    <w:lvl w:ilvl="1" w:tentative="0">
      <w:start w:val="1"/>
      <w:numFmt w:val="decimalEnclosedCircle"/>
      <w:lvlText w:val="%2"/>
      <w:lvlJc w:val="left"/>
      <w:pPr>
        <w:ind w:left="1260" w:hanging="360"/>
      </w:pPr>
      <w:rPr>
        <w:rFonts w:hint="default" w:ascii="宋体" w:hAnsi="宋体" w:cs="宋体"/>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0A8075B3"/>
    <w:multiLevelType w:val="multilevel"/>
    <w:tmpl w:val="0A8075B3"/>
    <w:lvl w:ilvl="0" w:tentative="0">
      <w:start w:val="1"/>
      <w:numFmt w:val="decimal"/>
      <w:lvlText w:val="%1)"/>
      <w:lvlJc w:val="left"/>
      <w:pPr>
        <w:ind w:left="0" w:firstLine="0"/>
      </w:pPr>
      <w:rPr>
        <w:rFonts w:hint="eastAsia"/>
      </w:rPr>
    </w:lvl>
    <w:lvl w:ilvl="1" w:tentative="0">
      <w:start w:val="1"/>
      <w:numFmt w:val="lowerLetter"/>
      <w:lvlText w:val="%2)"/>
      <w:lvlJc w:val="left"/>
      <w:pPr>
        <w:ind w:left="1320" w:hanging="420"/>
      </w:pPr>
      <w:rPr>
        <w:rFonts w:hint="eastAsia"/>
      </w:rPr>
    </w:lvl>
    <w:lvl w:ilvl="2" w:tentative="0">
      <w:start w:val="1"/>
      <w:numFmt w:val="lowerRoman"/>
      <w:lvlText w:val="%3."/>
      <w:lvlJc w:val="right"/>
      <w:pPr>
        <w:ind w:left="1740" w:hanging="420"/>
      </w:pPr>
      <w:rPr>
        <w:rFonts w:hint="eastAsia"/>
      </w:rPr>
    </w:lvl>
    <w:lvl w:ilvl="3" w:tentative="0">
      <w:start w:val="1"/>
      <w:numFmt w:val="decimal"/>
      <w:lvlText w:val="%4."/>
      <w:lvlJc w:val="left"/>
      <w:pPr>
        <w:ind w:left="2160" w:hanging="420"/>
      </w:pPr>
      <w:rPr>
        <w:rFonts w:hint="eastAsia"/>
      </w:rPr>
    </w:lvl>
    <w:lvl w:ilvl="4" w:tentative="0">
      <w:start w:val="1"/>
      <w:numFmt w:val="lowerLetter"/>
      <w:lvlText w:val="%5)"/>
      <w:lvlJc w:val="left"/>
      <w:pPr>
        <w:ind w:left="2580" w:hanging="420"/>
      </w:pPr>
      <w:rPr>
        <w:rFonts w:hint="eastAsia"/>
      </w:rPr>
    </w:lvl>
    <w:lvl w:ilvl="5" w:tentative="0">
      <w:start w:val="1"/>
      <w:numFmt w:val="lowerRoman"/>
      <w:lvlText w:val="%6."/>
      <w:lvlJc w:val="right"/>
      <w:pPr>
        <w:ind w:left="3000" w:hanging="420"/>
      </w:pPr>
      <w:rPr>
        <w:rFonts w:hint="eastAsia"/>
      </w:rPr>
    </w:lvl>
    <w:lvl w:ilvl="6" w:tentative="0">
      <w:start w:val="1"/>
      <w:numFmt w:val="decimal"/>
      <w:lvlText w:val="%7."/>
      <w:lvlJc w:val="left"/>
      <w:pPr>
        <w:ind w:left="3420" w:hanging="420"/>
      </w:pPr>
      <w:rPr>
        <w:rFonts w:hint="eastAsia"/>
      </w:rPr>
    </w:lvl>
    <w:lvl w:ilvl="7" w:tentative="0">
      <w:start w:val="1"/>
      <w:numFmt w:val="lowerLetter"/>
      <w:lvlText w:val="%8)"/>
      <w:lvlJc w:val="left"/>
      <w:pPr>
        <w:ind w:left="3840" w:hanging="420"/>
      </w:pPr>
      <w:rPr>
        <w:rFonts w:hint="eastAsia"/>
      </w:rPr>
    </w:lvl>
    <w:lvl w:ilvl="8" w:tentative="0">
      <w:start w:val="1"/>
      <w:numFmt w:val="lowerRoman"/>
      <w:lvlText w:val="%9."/>
      <w:lvlJc w:val="right"/>
      <w:pPr>
        <w:ind w:left="4260" w:hanging="420"/>
      </w:pPr>
      <w:rPr>
        <w:rFonts w:hint="eastAsia"/>
      </w:rPr>
    </w:lvl>
  </w:abstractNum>
  <w:abstractNum w:abstractNumId="3">
    <w:nsid w:val="1D7B2D87"/>
    <w:multiLevelType w:val="multilevel"/>
    <w:tmpl w:val="1D7B2D87"/>
    <w:lvl w:ilvl="0" w:tentative="0">
      <w:start w:val="1"/>
      <w:numFmt w:val="decimal"/>
      <w:suff w:val="nothing"/>
      <w:lvlText w:val="图3.4-%1"/>
      <w:lvlJc w:val="center"/>
      <w:pPr>
        <w:ind w:left="0" w:firstLine="0"/>
      </w:pPr>
      <w:rPr>
        <w:rFonts w:hint="default" w:ascii="Times New Roman" w:hAnsi="Times New Roman" w:eastAsia="宋体"/>
        <w:b/>
        <w:color w:val="auto"/>
        <w:sz w:val="24"/>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
    <w:nsid w:val="32511D09"/>
    <w:multiLevelType w:val="multilevel"/>
    <w:tmpl w:val="32511D09"/>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9906C5D"/>
    <w:multiLevelType w:val="multilevel"/>
    <w:tmpl w:val="49906C5D"/>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52037A4C"/>
    <w:multiLevelType w:val="multilevel"/>
    <w:tmpl w:val="52037A4C"/>
    <w:lvl w:ilvl="0" w:tentative="0">
      <w:start w:val="1"/>
      <w:numFmt w:val="decimal"/>
      <w:suff w:val="nothing"/>
      <w:lvlText w:val="表3.3-%1"/>
      <w:lvlJc w:val="center"/>
      <w:pPr>
        <w:ind w:left="0" w:firstLine="0"/>
      </w:pPr>
      <w:rPr>
        <w:rFonts w:hint="default" w:ascii="Times New Roman" w:hAnsi="Times New Roman" w:eastAsia="宋体"/>
        <w:b/>
        <w:color w:val="auto"/>
        <w:sz w:val="24"/>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7">
    <w:nsid w:val="521075A8"/>
    <w:multiLevelType w:val="multilevel"/>
    <w:tmpl w:val="521075A8"/>
    <w:lvl w:ilvl="0" w:tentative="0">
      <w:start w:val="1"/>
      <w:numFmt w:val="decimal"/>
      <w:suff w:val="nothing"/>
      <w:lvlText w:val="表3.4-%1"/>
      <w:lvlJc w:val="center"/>
      <w:pPr>
        <w:ind w:left="0" w:firstLine="0"/>
      </w:pPr>
      <w:rPr>
        <w:rFonts w:hint="default" w:ascii="Times New Roman" w:hAnsi="Times New Roman" w:eastAsia="宋体"/>
        <w:b/>
        <w:color w:val="auto"/>
        <w:sz w:val="24"/>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8">
    <w:nsid w:val="77A83646"/>
    <w:multiLevelType w:val="multilevel"/>
    <w:tmpl w:val="77A83646"/>
    <w:lvl w:ilvl="0" w:tentative="0">
      <w:start w:val="1"/>
      <w:numFmt w:val="decimal"/>
      <w:suff w:val="nothing"/>
      <w:lvlText w:val="图3.3-%1"/>
      <w:lvlJc w:val="center"/>
      <w:pPr>
        <w:ind w:left="0" w:firstLine="0"/>
      </w:pPr>
      <w:rPr>
        <w:rFonts w:hint="default" w:ascii="Times New Roman" w:hAnsi="Times New Roman" w:eastAsia="宋体"/>
        <w:b/>
        <w:color w:val="auto"/>
        <w:sz w:val="24"/>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9">
    <w:nsid w:val="7E670429"/>
    <w:multiLevelType w:val="multilevel"/>
    <w:tmpl w:val="7E67042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2"/>
  </w:num>
  <w:num w:numId="2">
    <w:abstractNumId w:val="1"/>
  </w:num>
  <w:num w:numId="3">
    <w:abstractNumId w:val="5"/>
  </w:num>
  <w:num w:numId="4">
    <w:abstractNumId w:val="9"/>
  </w:num>
  <w:num w:numId="5">
    <w:abstractNumId w:val="4"/>
  </w:num>
  <w:num w:numId="6">
    <w:abstractNumId w:val="8"/>
  </w:num>
  <w:num w:numId="7">
    <w:abstractNumId w:val="6"/>
  </w:num>
  <w:num w:numId="8">
    <w:abstractNumId w:val="7"/>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0"/>
  <w:drawingGridVerticalSpacing w:val="156"/>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Q4NzQzYWIyYjk5MjVjNTE1MWIwNzc3NTAwMjNmYzQifQ=="/>
  </w:docVars>
  <w:rsids>
    <w:rsidRoot w:val="00DD3C3C"/>
    <w:rsid w:val="00000529"/>
    <w:rsid w:val="000005A2"/>
    <w:rsid w:val="00001778"/>
    <w:rsid w:val="000031C5"/>
    <w:rsid w:val="00003CA8"/>
    <w:rsid w:val="0000418D"/>
    <w:rsid w:val="000041AB"/>
    <w:rsid w:val="00004419"/>
    <w:rsid w:val="00004AA3"/>
    <w:rsid w:val="00004D9B"/>
    <w:rsid w:val="00005373"/>
    <w:rsid w:val="00005B71"/>
    <w:rsid w:val="00005FE3"/>
    <w:rsid w:val="00006874"/>
    <w:rsid w:val="00006BD0"/>
    <w:rsid w:val="000106F7"/>
    <w:rsid w:val="0001097D"/>
    <w:rsid w:val="00010BE9"/>
    <w:rsid w:val="000112D4"/>
    <w:rsid w:val="0001175D"/>
    <w:rsid w:val="00011780"/>
    <w:rsid w:val="00011845"/>
    <w:rsid w:val="00012655"/>
    <w:rsid w:val="00014095"/>
    <w:rsid w:val="0001427F"/>
    <w:rsid w:val="00014332"/>
    <w:rsid w:val="00014C41"/>
    <w:rsid w:val="00015A6E"/>
    <w:rsid w:val="00015B75"/>
    <w:rsid w:val="00017103"/>
    <w:rsid w:val="00017E30"/>
    <w:rsid w:val="000202FF"/>
    <w:rsid w:val="00021083"/>
    <w:rsid w:val="000214BD"/>
    <w:rsid w:val="0002194D"/>
    <w:rsid w:val="00021B18"/>
    <w:rsid w:val="00023DE7"/>
    <w:rsid w:val="00023F0D"/>
    <w:rsid w:val="00026579"/>
    <w:rsid w:val="00026856"/>
    <w:rsid w:val="00026EB7"/>
    <w:rsid w:val="00026F40"/>
    <w:rsid w:val="000279CE"/>
    <w:rsid w:val="00027CE9"/>
    <w:rsid w:val="0003031A"/>
    <w:rsid w:val="00030851"/>
    <w:rsid w:val="00030A62"/>
    <w:rsid w:val="00030EF4"/>
    <w:rsid w:val="00031AEA"/>
    <w:rsid w:val="00031E8E"/>
    <w:rsid w:val="0003208C"/>
    <w:rsid w:val="00032B64"/>
    <w:rsid w:val="000334E5"/>
    <w:rsid w:val="00033EBE"/>
    <w:rsid w:val="00034EE3"/>
    <w:rsid w:val="0003577E"/>
    <w:rsid w:val="00037CFE"/>
    <w:rsid w:val="00040808"/>
    <w:rsid w:val="00040E0B"/>
    <w:rsid w:val="000419B6"/>
    <w:rsid w:val="00041F7C"/>
    <w:rsid w:val="000439CF"/>
    <w:rsid w:val="00044723"/>
    <w:rsid w:val="0004558D"/>
    <w:rsid w:val="0004611D"/>
    <w:rsid w:val="000466F1"/>
    <w:rsid w:val="00046AF0"/>
    <w:rsid w:val="00046D9F"/>
    <w:rsid w:val="00047FA0"/>
    <w:rsid w:val="000508A2"/>
    <w:rsid w:val="00050B43"/>
    <w:rsid w:val="00051562"/>
    <w:rsid w:val="00051EDF"/>
    <w:rsid w:val="00052461"/>
    <w:rsid w:val="0005318A"/>
    <w:rsid w:val="000532BC"/>
    <w:rsid w:val="00054236"/>
    <w:rsid w:val="00054240"/>
    <w:rsid w:val="00054428"/>
    <w:rsid w:val="000550DF"/>
    <w:rsid w:val="00055A0D"/>
    <w:rsid w:val="00055A46"/>
    <w:rsid w:val="00055ADB"/>
    <w:rsid w:val="00055B52"/>
    <w:rsid w:val="00055F9B"/>
    <w:rsid w:val="00056549"/>
    <w:rsid w:val="000566F0"/>
    <w:rsid w:val="00056E50"/>
    <w:rsid w:val="000576DE"/>
    <w:rsid w:val="00060244"/>
    <w:rsid w:val="00061E93"/>
    <w:rsid w:val="00061F0D"/>
    <w:rsid w:val="00061F40"/>
    <w:rsid w:val="000630DC"/>
    <w:rsid w:val="00063C1E"/>
    <w:rsid w:val="00064CB7"/>
    <w:rsid w:val="00065392"/>
    <w:rsid w:val="00065961"/>
    <w:rsid w:val="00065EB3"/>
    <w:rsid w:val="000665A1"/>
    <w:rsid w:val="00066CEC"/>
    <w:rsid w:val="0006744B"/>
    <w:rsid w:val="00070CAD"/>
    <w:rsid w:val="00072642"/>
    <w:rsid w:val="00073321"/>
    <w:rsid w:val="00073746"/>
    <w:rsid w:val="00073C8C"/>
    <w:rsid w:val="0007403B"/>
    <w:rsid w:val="0007416B"/>
    <w:rsid w:val="00074561"/>
    <w:rsid w:val="00074F25"/>
    <w:rsid w:val="00074F95"/>
    <w:rsid w:val="000750F4"/>
    <w:rsid w:val="00075739"/>
    <w:rsid w:val="00075982"/>
    <w:rsid w:val="00075D3E"/>
    <w:rsid w:val="00077617"/>
    <w:rsid w:val="00077A87"/>
    <w:rsid w:val="0008033C"/>
    <w:rsid w:val="00080BCC"/>
    <w:rsid w:val="0008140F"/>
    <w:rsid w:val="000814B6"/>
    <w:rsid w:val="00081562"/>
    <w:rsid w:val="000819DE"/>
    <w:rsid w:val="00081B5F"/>
    <w:rsid w:val="00082B66"/>
    <w:rsid w:val="00082E5B"/>
    <w:rsid w:val="0008381B"/>
    <w:rsid w:val="00083D8A"/>
    <w:rsid w:val="0008415F"/>
    <w:rsid w:val="00084271"/>
    <w:rsid w:val="00084F2D"/>
    <w:rsid w:val="0008688C"/>
    <w:rsid w:val="00086995"/>
    <w:rsid w:val="00087197"/>
    <w:rsid w:val="000874FD"/>
    <w:rsid w:val="0008770E"/>
    <w:rsid w:val="0009008C"/>
    <w:rsid w:val="00090545"/>
    <w:rsid w:val="00090674"/>
    <w:rsid w:val="000906F9"/>
    <w:rsid w:val="000908D4"/>
    <w:rsid w:val="00090A80"/>
    <w:rsid w:val="000910B1"/>
    <w:rsid w:val="00091175"/>
    <w:rsid w:val="00091256"/>
    <w:rsid w:val="00092258"/>
    <w:rsid w:val="0009227D"/>
    <w:rsid w:val="00092305"/>
    <w:rsid w:val="000928E9"/>
    <w:rsid w:val="00092AA7"/>
    <w:rsid w:val="00092C34"/>
    <w:rsid w:val="000932FC"/>
    <w:rsid w:val="0009348F"/>
    <w:rsid w:val="00093E88"/>
    <w:rsid w:val="00093F1A"/>
    <w:rsid w:val="000940A1"/>
    <w:rsid w:val="000945E7"/>
    <w:rsid w:val="0009484E"/>
    <w:rsid w:val="00094989"/>
    <w:rsid w:val="0009503F"/>
    <w:rsid w:val="00095127"/>
    <w:rsid w:val="000957E4"/>
    <w:rsid w:val="00095D9E"/>
    <w:rsid w:val="00096359"/>
    <w:rsid w:val="00097A21"/>
    <w:rsid w:val="00097A89"/>
    <w:rsid w:val="00097ECC"/>
    <w:rsid w:val="000A1191"/>
    <w:rsid w:val="000A1D8A"/>
    <w:rsid w:val="000A2DBA"/>
    <w:rsid w:val="000A38EB"/>
    <w:rsid w:val="000A3AA4"/>
    <w:rsid w:val="000A3F1E"/>
    <w:rsid w:val="000A485B"/>
    <w:rsid w:val="000A4DBB"/>
    <w:rsid w:val="000A5556"/>
    <w:rsid w:val="000A55A9"/>
    <w:rsid w:val="000A5DB1"/>
    <w:rsid w:val="000A5F13"/>
    <w:rsid w:val="000A6000"/>
    <w:rsid w:val="000A64B9"/>
    <w:rsid w:val="000A64E6"/>
    <w:rsid w:val="000A7969"/>
    <w:rsid w:val="000B04F5"/>
    <w:rsid w:val="000B0956"/>
    <w:rsid w:val="000B0F1E"/>
    <w:rsid w:val="000B2298"/>
    <w:rsid w:val="000B3ED6"/>
    <w:rsid w:val="000B46E9"/>
    <w:rsid w:val="000B529D"/>
    <w:rsid w:val="000B68D5"/>
    <w:rsid w:val="000B711E"/>
    <w:rsid w:val="000B78B3"/>
    <w:rsid w:val="000B7AD3"/>
    <w:rsid w:val="000B7E2C"/>
    <w:rsid w:val="000C0704"/>
    <w:rsid w:val="000C27DA"/>
    <w:rsid w:val="000C2C67"/>
    <w:rsid w:val="000C34F8"/>
    <w:rsid w:val="000C3704"/>
    <w:rsid w:val="000C3A05"/>
    <w:rsid w:val="000C3A33"/>
    <w:rsid w:val="000C3DDC"/>
    <w:rsid w:val="000C51FA"/>
    <w:rsid w:val="000C53A8"/>
    <w:rsid w:val="000C5858"/>
    <w:rsid w:val="000C5CAA"/>
    <w:rsid w:val="000C69CA"/>
    <w:rsid w:val="000C6C6B"/>
    <w:rsid w:val="000C6FFA"/>
    <w:rsid w:val="000C7315"/>
    <w:rsid w:val="000C7833"/>
    <w:rsid w:val="000C7C5E"/>
    <w:rsid w:val="000D18BA"/>
    <w:rsid w:val="000D1D7C"/>
    <w:rsid w:val="000D23E8"/>
    <w:rsid w:val="000D2983"/>
    <w:rsid w:val="000D2F0C"/>
    <w:rsid w:val="000D30AA"/>
    <w:rsid w:val="000D41CB"/>
    <w:rsid w:val="000D4963"/>
    <w:rsid w:val="000D4B4C"/>
    <w:rsid w:val="000D4B5D"/>
    <w:rsid w:val="000D57BF"/>
    <w:rsid w:val="000D5ED2"/>
    <w:rsid w:val="000D6500"/>
    <w:rsid w:val="000D668C"/>
    <w:rsid w:val="000D6735"/>
    <w:rsid w:val="000D7026"/>
    <w:rsid w:val="000D7507"/>
    <w:rsid w:val="000D76AA"/>
    <w:rsid w:val="000D7E9A"/>
    <w:rsid w:val="000E1206"/>
    <w:rsid w:val="000E12EB"/>
    <w:rsid w:val="000E1BB6"/>
    <w:rsid w:val="000E1C48"/>
    <w:rsid w:val="000E1C66"/>
    <w:rsid w:val="000E2436"/>
    <w:rsid w:val="000E35B3"/>
    <w:rsid w:val="000E39D5"/>
    <w:rsid w:val="000E49B5"/>
    <w:rsid w:val="000E4B57"/>
    <w:rsid w:val="000E54D6"/>
    <w:rsid w:val="000E5B64"/>
    <w:rsid w:val="000E5DF6"/>
    <w:rsid w:val="000E6941"/>
    <w:rsid w:val="000E721D"/>
    <w:rsid w:val="000E7365"/>
    <w:rsid w:val="000E7FEC"/>
    <w:rsid w:val="000F1EE3"/>
    <w:rsid w:val="000F1FA5"/>
    <w:rsid w:val="000F228E"/>
    <w:rsid w:val="000F31D7"/>
    <w:rsid w:val="000F3341"/>
    <w:rsid w:val="000F3489"/>
    <w:rsid w:val="000F34E2"/>
    <w:rsid w:val="000F39FA"/>
    <w:rsid w:val="000F476D"/>
    <w:rsid w:val="000F505C"/>
    <w:rsid w:val="000F62C6"/>
    <w:rsid w:val="000F68C1"/>
    <w:rsid w:val="0010071D"/>
    <w:rsid w:val="00100A65"/>
    <w:rsid w:val="00101180"/>
    <w:rsid w:val="0010128E"/>
    <w:rsid w:val="00101825"/>
    <w:rsid w:val="001020AC"/>
    <w:rsid w:val="00103871"/>
    <w:rsid w:val="001039C8"/>
    <w:rsid w:val="001050A3"/>
    <w:rsid w:val="001054CE"/>
    <w:rsid w:val="001057B7"/>
    <w:rsid w:val="00105A43"/>
    <w:rsid w:val="001069C4"/>
    <w:rsid w:val="0010775A"/>
    <w:rsid w:val="001078AB"/>
    <w:rsid w:val="00110115"/>
    <w:rsid w:val="001104A0"/>
    <w:rsid w:val="00110ACB"/>
    <w:rsid w:val="00110F2C"/>
    <w:rsid w:val="00113B64"/>
    <w:rsid w:val="00114073"/>
    <w:rsid w:val="00114A5B"/>
    <w:rsid w:val="001161D4"/>
    <w:rsid w:val="00116A70"/>
    <w:rsid w:val="00116CCE"/>
    <w:rsid w:val="00117054"/>
    <w:rsid w:val="00117B0E"/>
    <w:rsid w:val="00117F04"/>
    <w:rsid w:val="00117FE8"/>
    <w:rsid w:val="0012026C"/>
    <w:rsid w:val="001207EE"/>
    <w:rsid w:val="001209E1"/>
    <w:rsid w:val="00120F68"/>
    <w:rsid w:val="00121AB5"/>
    <w:rsid w:val="00122C41"/>
    <w:rsid w:val="001232B5"/>
    <w:rsid w:val="0012334F"/>
    <w:rsid w:val="001236D4"/>
    <w:rsid w:val="0012392F"/>
    <w:rsid w:val="00124775"/>
    <w:rsid w:val="0012564F"/>
    <w:rsid w:val="0012580C"/>
    <w:rsid w:val="0012598B"/>
    <w:rsid w:val="0012618B"/>
    <w:rsid w:val="00126CAC"/>
    <w:rsid w:val="001270EC"/>
    <w:rsid w:val="001278EB"/>
    <w:rsid w:val="00127A5D"/>
    <w:rsid w:val="00127BE7"/>
    <w:rsid w:val="001303A3"/>
    <w:rsid w:val="0013279D"/>
    <w:rsid w:val="001327F1"/>
    <w:rsid w:val="00132D90"/>
    <w:rsid w:val="00132ECC"/>
    <w:rsid w:val="00133102"/>
    <w:rsid w:val="0013446F"/>
    <w:rsid w:val="0013477A"/>
    <w:rsid w:val="001347D5"/>
    <w:rsid w:val="001354AA"/>
    <w:rsid w:val="001357E9"/>
    <w:rsid w:val="001359C2"/>
    <w:rsid w:val="001361E7"/>
    <w:rsid w:val="00136645"/>
    <w:rsid w:val="001377E4"/>
    <w:rsid w:val="001407ED"/>
    <w:rsid w:val="00140812"/>
    <w:rsid w:val="00141293"/>
    <w:rsid w:val="00141F75"/>
    <w:rsid w:val="0014436B"/>
    <w:rsid w:val="00145115"/>
    <w:rsid w:val="0014590C"/>
    <w:rsid w:val="00145E85"/>
    <w:rsid w:val="001472A2"/>
    <w:rsid w:val="00150155"/>
    <w:rsid w:val="00150D7F"/>
    <w:rsid w:val="00151013"/>
    <w:rsid w:val="00151D6E"/>
    <w:rsid w:val="0015265B"/>
    <w:rsid w:val="00152D06"/>
    <w:rsid w:val="0015354E"/>
    <w:rsid w:val="001538E1"/>
    <w:rsid w:val="00154487"/>
    <w:rsid w:val="00154CBD"/>
    <w:rsid w:val="001555D8"/>
    <w:rsid w:val="001556F6"/>
    <w:rsid w:val="0015699A"/>
    <w:rsid w:val="00156E26"/>
    <w:rsid w:val="0016001F"/>
    <w:rsid w:val="00160CC3"/>
    <w:rsid w:val="00160D4F"/>
    <w:rsid w:val="00160FD6"/>
    <w:rsid w:val="00161582"/>
    <w:rsid w:val="00161698"/>
    <w:rsid w:val="00161B53"/>
    <w:rsid w:val="0016226C"/>
    <w:rsid w:val="00162506"/>
    <w:rsid w:val="00162CD5"/>
    <w:rsid w:val="001633A3"/>
    <w:rsid w:val="0016359F"/>
    <w:rsid w:val="00163D43"/>
    <w:rsid w:val="00164A53"/>
    <w:rsid w:val="00164B9B"/>
    <w:rsid w:val="00165085"/>
    <w:rsid w:val="001653D7"/>
    <w:rsid w:val="00165BD2"/>
    <w:rsid w:val="00166088"/>
    <w:rsid w:val="001660FC"/>
    <w:rsid w:val="00166424"/>
    <w:rsid w:val="00166A24"/>
    <w:rsid w:val="00167202"/>
    <w:rsid w:val="0017029C"/>
    <w:rsid w:val="00170A1E"/>
    <w:rsid w:val="001713C6"/>
    <w:rsid w:val="00172773"/>
    <w:rsid w:val="0017278B"/>
    <w:rsid w:val="00172A5B"/>
    <w:rsid w:val="00172ABF"/>
    <w:rsid w:val="00172E89"/>
    <w:rsid w:val="001740A6"/>
    <w:rsid w:val="00174F6F"/>
    <w:rsid w:val="001758E8"/>
    <w:rsid w:val="0017599E"/>
    <w:rsid w:val="00175C86"/>
    <w:rsid w:val="001765B8"/>
    <w:rsid w:val="0017713C"/>
    <w:rsid w:val="001803C9"/>
    <w:rsid w:val="00180657"/>
    <w:rsid w:val="00181E6E"/>
    <w:rsid w:val="0018217D"/>
    <w:rsid w:val="00185802"/>
    <w:rsid w:val="00185A81"/>
    <w:rsid w:val="001862C8"/>
    <w:rsid w:val="00187AB2"/>
    <w:rsid w:val="00190910"/>
    <w:rsid w:val="00190A1F"/>
    <w:rsid w:val="00190C0A"/>
    <w:rsid w:val="00190D83"/>
    <w:rsid w:val="00192FB6"/>
    <w:rsid w:val="00194077"/>
    <w:rsid w:val="001940E4"/>
    <w:rsid w:val="0019425A"/>
    <w:rsid w:val="00194A70"/>
    <w:rsid w:val="00194E60"/>
    <w:rsid w:val="001951FD"/>
    <w:rsid w:val="0019655F"/>
    <w:rsid w:val="001973B0"/>
    <w:rsid w:val="00197739"/>
    <w:rsid w:val="00197EA9"/>
    <w:rsid w:val="001A0177"/>
    <w:rsid w:val="001A0887"/>
    <w:rsid w:val="001A0D65"/>
    <w:rsid w:val="001A0DEE"/>
    <w:rsid w:val="001A1028"/>
    <w:rsid w:val="001A1191"/>
    <w:rsid w:val="001A1223"/>
    <w:rsid w:val="001A1864"/>
    <w:rsid w:val="001A19F0"/>
    <w:rsid w:val="001A1A1A"/>
    <w:rsid w:val="001A1B22"/>
    <w:rsid w:val="001A1BBE"/>
    <w:rsid w:val="001A2144"/>
    <w:rsid w:val="001A365D"/>
    <w:rsid w:val="001A3BB1"/>
    <w:rsid w:val="001A4453"/>
    <w:rsid w:val="001A45FE"/>
    <w:rsid w:val="001A49A0"/>
    <w:rsid w:val="001A5537"/>
    <w:rsid w:val="001A676D"/>
    <w:rsid w:val="001A6C14"/>
    <w:rsid w:val="001A6DA5"/>
    <w:rsid w:val="001A79C8"/>
    <w:rsid w:val="001A7A56"/>
    <w:rsid w:val="001A7CEA"/>
    <w:rsid w:val="001A7D48"/>
    <w:rsid w:val="001B0184"/>
    <w:rsid w:val="001B022F"/>
    <w:rsid w:val="001B0279"/>
    <w:rsid w:val="001B0940"/>
    <w:rsid w:val="001B0B86"/>
    <w:rsid w:val="001B10E1"/>
    <w:rsid w:val="001B3B12"/>
    <w:rsid w:val="001B425F"/>
    <w:rsid w:val="001B4340"/>
    <w:rsid w:val="001B442F"/>
    <w:rsid w:val="001B5316"/>
    <w:rsid w:val="001B53DA"/>
    <w:rsid w:val="001B54DF"/>
    <w:rsid w:val="001B5C28"/>
    <w:rsid w:val="001B6F2F"/>
    <w:rsid w:val="001C0360"/>
    <w:rsid w:val="001C050A"/>
    <w:rsid w:val="001C0526"/>
    <w:rsid w:val="001C0C44"/>
    <w:rsid w:val="001C0D01"/>
    <w:rsid w:val="001C0DDE"/>
    <w:rsid w:val="001C13FD"/>
    <w:rsid w:val="001C151F"/>
    <w:rsid w:val="001C160C"/>
    <w:rsid w:val="001C1A0A"/>
    <w:rsid w:val="001C1CE5"/>
    <w:rsid w:val="001C1E24"/>
    <w:rsid w:val="001C1ED6"/>
    <w:rsid w:val="001C3860"/>
    <w:rsid w:val="001C38A7"/>
    <w:rsid w:val="001C39B2"/>
    <w:rsid w:val="001C3C04"/>
    <w:rsid w:val="001C3D03"/>
    <w:rsid w:val="001C4460"/>
    <w:rsid w:val="001C454D"/>
    <w:rsid w:val="001C61C2"/>
    <w:rsid w:val="001C6B86"/>
    <w:rsid w:val="001C7C23"/>
    <w:rsid w:val="001D2531"/>
    <w:rsid w:val="001D3817"/>
    <w:rsid w:val="001D3888"/>
    <w:rsid w:val="001D3896"/>
    <w:rsid w:val="001D3AFC"/>
    <w:rsid w:val="001D47A7"/>
    <w:rsid w:val="001D5DF2"/>
    <w:rsid w:val="001D6552"/>
    <w:rsid w:val="001D6E3C"/>
    <w:rsid w:val="001D6E40"/>
    <w:rsid w:val="001D7381"/>
    <w:rsid w:val="001D7718"/>
    <w:rsid w:val="001E0022"/>
    <w:rsid w:val="001E03DE"/>
    <w:rsid w:val="001E05EF"/>
    <w:rsid w:val="001E09E0"/>
    <w:rsid w:val="001E10BA"/>
    <w:rsid w:val="001E1B30"/>
    <w:rsid w:val="001E1D9B"/>
    <w:rsid w:val="001E22E2"/>
    <w:rsid w:val="001E27BC"/>
    <w:rsid w:val="001E2BE9"/>
    <w:rsid w:val="001E353D"/>
    <w:rsid w:val="001E36C6"/>
    <w:rsid w:val="001E4955"/>
    <w:rsid w:val="001E4D9B"/>
    <w:rsid w:val="001E5344"/>
    <w:rsid w:val="001E5542"/>
    <w:rsid w:val="001E55F2"/>
    <w:rsid w:val="001E5B83"/>
    <w:rsid w:val="001E66C6"/>
    <w:rsid w:val="001E6F27"/>
    <w:rsid w:val="001E77D6"/>
    <w:rsid w:val="001E7B24"/>
    <w:rsid w:val="001E7D1A"/>
    <w:rsid w:val="001E7D69"/>
    <w:rsid w:val="001F0216"/>
    <w:rsid w:val="001F0B1B"/>
    <w:rsid w:val="001F1FF3"/>
    <w:rsid w:val="001F23BE"/>
    <w:rsid w:val="001F39A6"/>
    <w:rsid w:val="001F43D6"/>
    <w:rsid w:val="001F4C17"/>
    <w:rsid w:val="001F61AB"/>
    <w:rsid w:val="001F6404"/>
    <w:rsid w:val="001F67A3"/>
    <w:rsid w:val="001F6AD4"/>
    <w:rsid w:val="001F6DF8"/>
    <w:rsid w:val="001F7318"/>
    <w:rsid w:val="001F767F"/>
    <w:rsid w:val="0020067C"/>
    <w:rsid w:val="0020118A"/>
    <w:rsid w:val="0020150A"/>
    <w:rsid w:val="002015FA"/>
    <w:rsid w:val="00201880"/>
    <w:rsid w:val="00201B35"/>
    <w:rsid w:val="00202C75"/>
    <w:rsid w:val="00202E6B"/>
    <w:rsid w:val="0020342B"/>
    <w:rsid w:val="00203823"/>
    <w:rsid w:val="00205C39"/>
    <w:rsid w:val="002063DE"/>
    <w:rsid w:val="00206954"/>
    <w:rsid w:val="002071FB"/>
    <w:rsid w:val="00207437"/>
    <w:rsid w:val="00207CBE"/>
    <w:rsid w:val="00210419"/>
    <w:rsid w:val="00210890"/>
    <w:rsid w:val="002109D0"/>
    <w:rsid w:val="002110CD"/>
    <w:rsid w:val="0021133E"/>
    <w:rsid w:val="00211A39"/>
    <w:rsid w:val="0021206F"/>
    <w:rsid w:val="002124F8"/>
    <w:rsid w:val="0021273E"/>
    <w:rsid w:val="002128A1"/>
    <w:rsid w:val="002144B2"/>
    <w:rsid w:val="00214970"/>
    <w:rsid w:val="00215644"/>
    <w:rsid w:val="0021665C"/>
    <w:rsid w:val="002166A9"/>
    <w:rsid w:val="0021755F"/>
    <w:rsid w:val="00220BC3"/>
    <w:rsid w:val="00220D68"/>
    <w:rsid w:val="0022163C"/>
    <w:rsid w:val="00221F94"/>
    <w:rsid w:val="00222012"/>
    <w:rsid w:val="002227FF"/>
    <w:rsid w:val="00222883"/>
    <w:rsid w:val="002228AB"/>
    <w:rsid w:val="002235DA"/>
    <w:rsid w:val="0022440E"/>
    <w:rsid w:val="00224BB7"/>
    <w:rsid w:val="002259A3"/>
    <w:rsid w:val="00225D42"/>
    <w:rsid w:val="00226BC5"/>
    <w:rsid w:val="00230200"/>
    <w:rsid w:val="0023140A"/>
    <w:rsid w:val="00231566"/>
    <w:rsid w:val="002316F3"/>
    <w:rsid w:val="00231C1D"/>
    <w:rsid w:val="0023259F"/>
    <w:rsid w:val="0023302E"/>
    <w:rsid w:val="00233134"/>
    <w:rsid w:val="00233AD5"/>
    <w:rsid w:val="002345BC"/>
    <w:rsid w:val="00234FC5"/>
    <w:rsid w:val="00235535"/>
    <w:rsid w:val="00236C19"/>
    <w:rsid w:val="00237B16"/>
    <w:rsid w:val="00237FDF"/>
    <w:rsid w:val="00240E8E"/>
    <w:rsid w:val="00241242"/>
    <w:rsid w:val="00241DA7"/>
    <w:rsid w:val="00242203"/>
    <w:rsid w:val="0024226D"/>
    <w:rsid w:val="002427B9"/>
    <w:rsid w:val="0024298A"/>
    <w:rsid w:val="00242A0B"/>
    <w:rsid w:val="002446CC"/>
    <w:rsid w:val="00244953"/>
    <w:rsid w:val="00245AC1"/>
    <w:rsid w:val="0024730A"/>
    <w:rsid w:val="00247A1A"/>
    <w:rsid w:val="002501AE"/>
    <w:rsid w:val="00250D85"/>
    <w:rsid w:val="00252293"/>
    <w:rsid w:val="0025280F"/>
    <w:rsid w:val="00252B5C"/>
    <w:rsid w:val="00253826"/>
    <w:rsid w:val="00253D67"/>
    <w:rsid w:val="00254784"/>
    <w:rsid w:val="0025571D"/>
    <w:rsid w:val="00255868"/>
    <w:rsid w:val="00255EC2"/>
    <w:rsid w:val="002576D2"/>
    <w:rsid w:val="002578D8"/>
    <w:rsid w:val="00257AE8"/>
    <w:rsid w:val="00257F05"/>
    <w:rsid w:val="00260842"/>
    <w:rsid w:val="00260DC9"/>
    <w:rsid w:val="00261A2A"/>
    <w:rsid w:val="00262059"/>
    <w:rsid w:val="0026279B"/>
    <w:rsid w:val="0026333B"/>
    <w:rsid w:val="00263B3A"/>
    <w:rsid w:val="002640EA"/>
    <w:rsid w:val="00264E8D"/>
    <w:rsid w:val="00264FBF"/>
    <w:rsid w:val="0026770F"/>
    <w:rsid w:val="002679EF"/>
    <w:rsid w:val="0027092F"/>
    <w:rsid w:val="00271AD5"/>
    <w:rsid w:val="0027307B"/>
    <w:rsid w:val="00273BD2"/>
    <w:rsid w:val="002740DE"/>
    <w:rsid w:val="00274270"/>
    <w:rsid w:val="00274783"/>
    <w:rsid w:val="00274D46"/>
    <w:rsid w:val="00274E85"/>
    <w:rsid w:val="00275E10"/>
    <w:rsid w:val="002763C2"/>
    <w:rsid w:val="00276BCC"/>
    <w:rsid w:val="00276DA1"/>
    <w:rsid w:val="0027723A"/>
    <w:rsid w:val="002775C0"/>
    <w:rsid w:val="002775CA"/>
    <w:rsid w:val="00277772"/>
    <w:rsid w:val="00277E4E"/>
    <w:rsid w:val="002805F3"/>
    <w:rsid w:val="00280931"/>
    <w:rsid w:val="002811D3"/>
    <w:rsid w:val="00281381"/>
    <w:rsid w:val="00281E65"/>
    <w:rsid w:val="00281F9A"/>
    <w:rsid w:val="00283046"/>
    <w:rsid w:val="002833FD"/>
    <w:rsid w:val="00283596"/>
    <w:rsid w:val="00283D5B"/>
    <w:rsid w:val="00283DDD"/>
    <w:rsid w:val="00284A7E"/>
    <w:rsid w:val="00284BCD"/>
    <w:rsid w:val="00284C8D"/>
    <w:rsid w:val="002859D2"/>
    <w:rsid w:val="00286461"/>
    <w:rsid w:val="0028687D"/>
    <w:rsid w:val="00286886"/>
    <w:rsid w:val="00286A3D"/>
    <w:rsid w:val="00286E1C"/>
    <w:rsid w:val="00290443"/>
    <w:rsid w:val="0029077C"/>
    <w:rsid w:val="00290DDB"/>
    <w:rsid w:val="00291AAD"/>
    <w:rsid w:val="00292349"/>
    <w:rsid w:val="002929AA"/>
    <w:rsid w:val="00293321"/>
    <w:rsid w:val="00293E80"/>
    <w:rsid w:val="00294308"/>
    <w:rsid w:val="002946F5"/>
    <w:rsid w:val="00294BBB"/>
    <w:rsid w:val="00295DD1"/>
    <w:rsid w:val="002974BC"/>
    <w:rsid w:val="0029792D"/>
    <w:rsid w:val="00297F9A"/>
    <w:rsid w:val="002A021F"/>
    <w:rsid w:val="002A0B15"/>
    <w:rsid w:val="002A0BF5"/>
    <w:rsid w:val="002A1135"/>
    <w:rsid w:val="002A14E8"/>
    <w:rsid w:val="002A19B5"/>
    <w:rsid w:val="002A1D9E"/>
    <w:rsid w:val="002A233B"/>
    <w:rsid w:val="002A31A7"/>
    <w:rsid w:val="002A4058"/>
    <w:rsid w:val="002A40AE"/>
    <w:rsid w:val="002A513E"/>
    <w:rsid w:val="002A5361"/>
    <w:rsid w:val="002A545C"/>
    <w:rsid w:val="002A6C92"/>
    <w:rsid w:val="002A7D45"/>
    <w:rsid w:val="002A7EF9"/>
    <w:rsid w:val="002B0A02"/>
    <w:rsid w:val="002B1286"/>
    <w:rsid w:val="002B1E8C"/>
    <w:rsid w:val="002B1E9E"/>
    <w:rsid w:val="002B20A5"/>
    <w:rsid w:val="002B23B7"/>
    <w:rsid w:val="002B289C"/>
    <w:rsid w:val="002B2C07"/>
    <w:rsid w:val="002B2C2B"/>
    <w:rsid w:val="002B4B09"/>
    <w:rsid w:val="002B4CF7"/>
    <w:rsid w:val="002B5EA1"/>
    <w:rsid w:val="002B6E90"/>
    <w:rsid w:val="002B7552"/>
    <w:rsid w:val="002C03BE"/>
    <w:rsid w:val="002C1341"/>
    <w:rsid w:val="002C19E5"/>
    <w:rsid w:val="002C2500"/>
    <w:rsid w:val="002C3493"/>
    <w:rsid w:val="002C3556"/>
    <w:rsid w:val="002C3E83"/>
    <w:rsid w:val="002C445B"/>
    <w:rsid w:val="002C50CC"/>
    <w:rsid w:val="002C542C"/>
    <w:rsid w:val="002C589E"/>
    <w:rsid w:val="002C58D6"/>
    <w:rsid w:val="002C5EF0"/>
    <w:rsid w:val="002C5FCF"/>
    <w:rsid w:val="002C7186"/>
    <w:rsid w:val="002D02CE"/>
    <w:rsid w:val="002D1817"/>
    <w:rsid w:val="002D1BA4"/>
    <w:rsid w:val="002D2584"/>
    <w:rsid w:val="002D28AE"/>
    <w:rsid w:val="002D296E"/>
    <w:rsid w:val="002D2B26"/>
    <w:rsid w:val="002D32B9"/>
    <w:rsid w:val="002D4387"/>
    <w:rsid w:val="002D49B1"/>
    <w:rsid w:val="002D5378"/>
    <w:rsid w:val="002D5697"/>
    <w:rsid w:val="002D5860"/>
    <w:rsid w:val="002D6C12"/>
    <w:rsid w:val="002D6EC0"/>
    <w:rsid w:val="002D73F6"/>
    <w:rsid w:val="002D778B"/>
    <w:rsid w:val="002D7913"/>
    <w:rsid w:val="002E00F8"/>
    <w:rsid w:val="002E01E2"/>
    <w:rsid w:val="002E01ED"/>
    <w:rsid w:val="002E026A"/>
    <w:rsid w:val="002E02C8"/>
    <w:rsid w:val="002E0923"/>
    <w:rsid w:val="002E0EA6"/>
    <w:rsid w:val="002E100A"/>
    <w:rsid w:val="002E251A"/>
    <w:rsid w:val="002E300E"/>
    <w:rsid w:val="002E3555"/>
    <w:rsid w:val="002E37C7"/>
    <w:rsid w:val="002E53BB"/>
    <w:rsid w:val="002E59EE"/>
    <w:rsid w:val="002E5B7B"/>
    <w:rsid w:val="002E5D49"/>
    <w:rsid w:val="002E5EED"/>
    <w:rsid w:val="002E68B7"/>
    <w:rsid w:val="002E6B32"/>
    <w:rsid w:val="002E6B8F"/>
    <w:rsid w:val="002E701F"/>
    <w:rsid w:val="002E7B72"/>
    <w:rsid w:val="002F0A64"/>
    <w:rsid w:val="002F0C92"/>
    <w:rsid w:val="002F0CDA"/>
    <w:rsid w:val="002F0D41"/>
    <w:rsid w:val="002F0F1F"/>
    <w:rsid w:val="002F1D76"/>
    <w:rsid w:val="002F269A"/>
    <w:rsid w:val="002F291F"/>
    <w:rsid w:val="002F3410"/>
    <w:rsid w:val="002F3901"/>
    <w:rsid w:val="002F3AF3"/>
    <w:rsid w:val="002F3F44"/>
    <w:rsid w:val="002F414A"/>
    <w:rsid w:val="002F55A0"/>
    <w:rsid w:val="002F5A1E"/>
    <w:rsid w:val="002F5B84"/>
    <w:rsid w:val="002F608E"/>
    <w:rsid w:val="002F6484"/>
    <w:rsid w:val="002F7517"/>
    <w:rsid w:val="002F769D"/>
    <w:rsid w:val="00300F05"/>
    <w:rsid w:val="003014C9"/>
    <w:rsid w:val="003019D7"/>
    <w:rsid w:val="00301E04"/>
    <w:rsid w:val="0030294F"/>
    <w:rsid w:val="00302996"/>
    <w:rsid w:val="00302B78"/>
    <w:rsid w:val="00303AC0"/>
    <w:rsid w:val="0030403A"/>
    <w:rsid w:val="00304069"/>
    <w:rsid w:val="00305D07"/>
    <w:rsid w:val="00305F83"/>
    <w:rsid w:val="00306750"/>
    <w:rsid w:val="00306812"/>
    <w:rsid w:val="00306D1F"/>
    <w:rsid w:val="00307090"/>
    <w:rsid w:val="00307725"/>
    <w:rsid w:val="00307B77"/>
    <w:rsid w:val="00307F58"/>
    <w:rsid w:val="00310C00"/>
    <w:rsid w:val="003130D0"/>
    <w:rsid w:val="00313B5B"/>
    <w:rsid w:val="003140DB"/>
    <w:rsid w:val="0031451F"/>
    <w:rsid w:val="00314D71"/>
    <w:rsid w:val="003150C4"/>
    <w:rsid w:val="00315507"/>
    <w:rsid w:val="00315A2C"/>
    <w:rsid w:val="00315EBE"/>
    <w:rsid w:val="00316E13"/>
    <w:rsid w:val="00316FA1"/>
    <w:rsid w:val="00317DE4"/>
    <w:rsid w:val="00320B38"/>
    <w:rsid w:val="00320CFF"/>
    <w:rsid w:val="00321683"/>
    <w:rsid w:val="00321CE2"/>
    <w:rsid w:val="003226CF"/>
    <w:rsid w:val="00322823"/>
    <w:rsid w:val="00322F26"/>
    <w:rsid w:val="00323655"/>
    <w:rsid w:val="003248EC"/>
    <w:rsid w:val="003250A7"/>
    <w:rsid w:val="003251FE"/>
    <w:rsid w:val="00325C22"/>
    <w:rsid w:val="0032625E"/>
    <w:rsid w:val="00326C76"/>
    <w:rsid w:val="003274B9"/>
    <w:rsid w:val="00327855"/>
    <w:rsid w:val="00327A17"/>
    <w:rsid w:val="00327FDA"/>
    <w:rsid w:val="003310B7"/>
    <w:rsid w:val="00332A81"/>
    <w:rsid w:val="00332A92"/>
    <w:rsid w:val="0033380A"/>
    <w:rsid w:val="00333E8A"/>
    <w:rsid w:val="00334017"/>
    <w:rsid w:val="003346A8"/>
    <w:rsid w:val="003346B2"/>
    <w:rsid w:val="003346B5"/>
    <w:rsid w:val="003346F9"/>
    <w:rsid w:val="00335CCD"/>
    <w:rsid w:val="003378B3"/>
    <w:rsid w:val="003406B3"/>
    <w:rsid w:val="003407A2"/>
    <w:rsid w:val="00341021"/>
    <w:rsid w:val="003416B8"/>
    <w:rsid w:val="00341D14"/>
    <w:rsid w:val="0034259C"/>
    <w:rsid w:val="0034333F"/>
    <w:rsid w:val="00345BE0"/>
    <w:rsid w:val="00345F5F"/>
    <w:rsid w:val="0034628F"/>
    <w:rsid w:val="0034668B"/>
    <w:rsid w:val="003467B0"/>
    <w:rsid w:val="00346B41"/>
    <w:rsid w:val="00346F03"/>
    <w:rsid w:val="00350871"/>
    <w:rsid w:val="003516F0"/>
    <w:rsid w:val="00351B7D"/>
    <w:rsid w:val="00351E05"/>
    <w:rsid w:val="00352153"/>
    <w:rsid w:val="003521BD"/>
    <w:rsid w:val="0035396F"/>
    <w:rsid w:val="00353BBC"/>
    <w:rsid w:val="00355360"/>
    <w:rsid w:val="00355F44"/>
    <w:rsid w:val="0035621D"/>
    <w:rsid w:val="00356A25"/>
    <w:rsid w:val="00357429"/>
    <w:rsid w:val="00357583"/>
    <w:rsid w:val="00357BE0"/>
    <w:rsid w:val="00360A80"/>
    <w:rsid w:val="00360DD2"/>
    <w:rsid w:val="0036104A"/>
    <w:rsid w:val="00361116"/>
    <w:rsid w:val="00361BC9"/>
    <w:rsid w:val="0036238D"/>
    <w:rsid w:val="0036287F"/>
    <w:rsid w:val="00362D91"/>
    <w:rsid w:val="00363C0A"/>
    <w:rsid w:val="00364950"/>
    <w:rsid w:val="00364F40"/>
    <w:rsid w:val="00365209"/>
    <w:rsid w:val="00367685"/>
    <w:rsid w:val="00367A75"/>
    <w:rsid w:val="00370C9B"/>
    <w:rsid w:val="003712CD"/>
    <w:rsid w:val="00371E38"/>
    <w:rsid w:val="00372006"/>
    <w:rsid w:val="00372102"/>
    <w:rsid w:val="003726E3"/>
    <w:rsid w:val="003729D1"/>
    <w:rsid w:val="00372E54"/>
    <w:rsid w:val="00373BE2"/>
    <w:rsid w:val="003743F0"/>
    <w:rsid w:val="0037544A"/>
    <w:rsid w:val="0037551F"/>
    <w:rsid w:val="003765C3"/>
    <w:rsid w:val="00376D56"/>
    <w:rsid w:val="003770CA"/>
    <w:rsid w:val="00377513"/>
    <w:rsid w:val="0037796A"/>
    <w:rsid w:val="00377DA3"/>
    <w:rsid w:val="0038023C"/>
    <w:rsid w:val="00380A78"/>
    <w:rsid w:val="003815E4"/>
    <w:rsid w:val="003819A4"/>
    <w:rsid w:val="00381A0A"/>
    <w:rsid w:val="00381A27"/>
    <w:rsid w:val="00382D4C"/>
    <w:rsid w:val="00382FFD"/>
    <w:rsid w:val="003830CD"/>
    <w:rsid w:val="00383313"/>
    <w:rsid w:val="0038489F"/>
    <w:rsid w:val="00384B95"/>
    <w:rsid w:val="00386D60"/>
    <w:rsid w:val="003870CD"/>
    <w:rsid w:val="00387F53"/>
    <w:rsid w:val="00387F82"/>
    <w:rsid w:val="00387FE1"/>
    <w:rsid w:val="00390143"/>
    <w:rsid w:val="003906E2"/>
    <w:rsid w:val="0039092A"/>
    <w:rsid w:val="00390A90"/>
    <w:rsid w:val="00391186"/>
    <w:rsid w:val="00391537"/>
    <w:rsid w:val="00392150"/>
    <w:rsid w:val="00392366"/>
    <w:rsid w:val="003923F7"/>
    <w:rsid w:val="00392E39"/>
    <w:rsid w:val="00392F6F"/>
    <w:rsid w:val="00393423"/>
    <w:rsid w:val="0039399C"/>
    <w:rsid w:val="0039440C"/>
    <w:rsid w:val="0039484A"/>
    <w:rsid w:val="003948A0"/>
    <w:rsid w:val="00395A75"/>
    <w:rsid w:val="00396439"/>
    <w:rsid w:val="00396748"/>
    <w:rsid w:val="00396ADF"/>
    <w:rsid w:val="00396E06"/>
    <w:rsid w:val="00396FE6"/>
    <w:rsid w:val="003972A8"/>
    <w:rsid w:val="003A0396"/>
    <w:rsid w:val="003A07D4"/>
    <w:rsid w:val="003A07E8"/>
    <w:rsid w:val="003A1522"/>
    <w:rsid w:val="003A173D"/>
    <w:rsid w:val="003A1834"/>
    <w:rsid w:val="003A1854"/>
    <w:rsid w:val="003A2143"/>
    <w:rsid w:val="003A25FF"/>
    <w:rsid w:val="003A2C46"/>
    <w:rsid w:val="003A359C"/>
    <w:rsid w:val="003A4532"/>
    <w:rsid w:val="003A4C51"/>
    <w:rsid w:val="003A4C79"/>
    <w:rsid w:val="003A5793"/>
    <w:rsid w:val="003A65B7"/>
    <w:rsid w:val="003A740D"/>
    <w:rsid w:val="003A74F1"/>
    <w:rsid w:val="003A7CC7"/>
    <w:rsid w:val="003A7F08"/>
    <w:rsid w:val="003B0303"/>
    <w:rsid w:val="003B062F"/>
    <w:rsid w:val="003B0A51"/>
    <w:rsid w:val="003B0C9D"/>
    <w:rsid w:val="003B13F5"/>
    <w:rsid w:val="003B1DF1"/>
    <w:rsid w:val="003B259B"/>
    <w:rsid w:val="003B259E"/>
    <w:rsid w:val="003B2AAC"/>
    <w:rsid w:val="003B37B5"/>
    <w:rsid w:val="003B39F6"/>
    <w:rsid w:val="003B3B48"/>
    <w:rsid w:val="003B4440"/>
    <w:rsid w:val="003B4BCE"/>
    <w:rsid w:val="003B4F8D"/>
    <w:rsid w:val="003B5205"/>
    <w:rsid w:val="003B5974"/>
    <w:rsid w:val="003B5FF7"/>
    <w:rsid w:val="003B6453"/>
    <w:rsid w:val="003B6750"/>
    <w:rsid w:val="003B6886"/>
    <w:rsid w:val="003B6DA3"/>
    <w:rsid w:val="003B70B0"/>
    <w:rsid w:val="003B72BF"/>
    <w:rsid w:val="003B7D37"/>
    <w:rsid w:val="003C05F3"/>
    <w:rsid w:val="003C08C8"/>
    <w:rsid w:val="003C0FCE"/>
    <w:rsid w:val="003C1860"/>
    <w:rsid w:val="003C18B6"/>
    <w:rsid w:val="003C2BDE"/>
    <w:rsid w:val="003C2F6E"/>
    <w:rsid w:val="003C3705"/>
    <w:rsid w:val="003C3E40"/>
    <w:rsid w:val="003C4EF5"/>
    <w:rsid w:val="003C5C30"/>
    <w:rsid w:val="003C602A"/>
    <w:rsid w:val="003C6266"/>
    <w:rsid w:val="003C6856"/>
    <w:rsid w:val="003C799A"/>
    <w:rsid w:val="003C7F3B"/>
    <w:rsid w:val="003C7FD0"/>
    <w:rsid w:val="003C7FED"/>
    <w:rsid w:val="003D04CC"/>
    <w:rsid w:val="003D0721"/>
    <w:rsid w:val="003D2EDE"/>
    <w:rsid w:val="003D335C"/>
    <w:rsid w:val="003D3D1B"/>
    <w:rsid w:val="003D4AA7"/>
    <w:rsid w:val="003D4B11"/>
    <w:rsid w:val="003D4CB4"/>
    <w:rsid w:val="003D4CDA"/>
    <w:rsid w:val="003D5087"/>
    <w:rsid w:val="003D5CB5"/>
    <w:rsid w:val="003D7A56"/>
    <w:rsid w:val="003E0DAC"/>
    <w:rsid w:val="003E1391"/>
    <w:rsid w:val="003E236D"/>
    <w:rsid w:val="003E2948"/>
    <w:rsid w:val="003E3645"/>
    <w:rsid w:val="003E3751"/>
    <w:rsid w:val="003E3F81"/>
    <w:rsid w:val="003E42AD"/>
    <w:rsid w:val="003E4324"/>
    <w:rsid w:val="003E4876"/>
    <w:rsid w:val="003E4E63"/>
    <w:rsid w:val="003E70A6"/>
    <w:rsid w:val="003E7D1B"/>
    <w:rsid w:val="003F1B91"/>
    <w:rsid w:val="003F2899"/>
    <w:rsid w:val="003F3B03"/>
    <w:rsid w:val="003F3B91"/>
    <w:rsid w:val="003F40D0"/>
    <w:rsid w:val="003F4D21"/>
    <w:rsid w:val="003F4E78"/>
    <w:rsid w:val="003F5D1D"/>
    <w:rsid w:val="003F7A32"/>
    <w:rsid w:val="003F7D7C"/>
    <w:rsid w:val="003F7ECB"/>
    <w:rsid w:val="00400645"/>
    <w:rsid w:val="0040086C"/>
    <w:rsid w:val="004014AC"/>
    <w:rsid w:val="00401A1C"/>
    <w:rsid w:val="004024E4"/>
    <w:rsid w:val="0040342B"/>
    <w:rsid w:val="0040468C"/>
    <w:rsid w:val="0040489D"/>
    <w:rsid w:val="004052F8"/>
    <w:rsid w:val="0040536D"/>
    <w:rsid w:val="00405614"/>
    <w:rsid w:val="004056A1"/>
    <w:rsid w:val="00406350"/>
    <w:rsid w:val="00406BAB"/>
    <w:rsid w:val="00406CE7"/>
    <w:rsid w:val="00406D06"/>
    <w:rsid w:val="004110D0"/>
    <w:rsid w:val="0041234B"/>
    <w:rsid w:val="00412564"/>
    <w:rsid w:val="00412AAA"/>
    <w:rsid w:val="004147E4"/>
    <w:rsid w:val="00414D4D"/>
    <w:rsid w:val="00414D8D"/>
    <w:rsid w:val="00414F05"/>
    <w:rsid w:val="00417319"/>
    <w:rsid w:val="004176D1"/>
    <w:rsid w:val="00420381"/>
    <w:rsid w:val="004225D5"/>
    <w:rsid w:val="00422E33"/>
    <w:rsid w:val="004231A4"/>
    <w:rsid w:val="0042369E"/>
    <w:rsid w:val="00424581"/>
    <w:rsid w:val="00424B33"/>
    <w:rsid w:val="00424C74"/>
    <w:rsid w:val="004251C5"/>
    <w:rsid w:val="00425392"/>
    <w:rsid w:val="00425647"/>
    <w:rsid w:val="00425C36"/>
    <w:rsid w:val="00425F0F"/>
    <w:rsid w:val="00425F22"/>
    <w:rsid w:val="00427753"/>
    <w:rsid w:val="0043119F"/>
    <w:rsid w:val="00431C1F"/>
    <w:rsid w:val="00432924"/>
    <w:rsid w:val="00433075"/>
    <w:rsid w:val="00433365"/>
    <w:rsid w:val="00433751"/>
    <w:rsid w:val="00433A74"/>
    <w:rsid w:val="00433DB9"/>
    <w:rsid w:val="00434299"/>
    <w:rsid w:val="00434817"/>
    <w:rsid w:val="00436618"/>
    <w:rsid w:val="00437A21"/>
    <w:rsid w:val="00437F6F"/>
    <w:rsid w:val="00440110"/>
    <w:rsid w:val="00440547"/>
    <w:rsid w:val="0044138D"/>
    <w:rsid w:val="00441B3C"/>
    <w:rsid w:val="00441D2B"/>
    <w:rsid w:val="00443121"/>
    <w:rsid w:val="00443605"/>
    <w:rsid w:val="0044436B"/>
    <w:rsid w:val="004458F7"/>
    <w:rsid w:val="00446318"/>
    <w:rsid w:val="00446590"/>
    <w:rsid w:val="004466C8"/>
    <w:rsid w:val="0044697A"/>
    <w:rsid w:val="00447203"/>
    <w:rsid w:val="00447A24"/>
    <w:rsid w:val="00447A65"/>
    <w:rsid w:val="004504DD"/>
    <w:rsid w:val="00450791"/>
    <w:rsid w:val="00450918"/>
    <w:rsid w:val="004515C2"/>
    <w:rsid w:val="00453497"/>
    <w:rsid w:val="004535E0"/>
    <w:rsid w:val="00453AB1"/>
    <w:rsid w:val="004552D8"/>
    <w:rsid w:val="00455577"/>
    <w:rsid w:val="004559D7"/>
    <w:rsid w:val="00456EB1"/>
    <w:rsid w:val="00457612"/>
    <w:rsid w:val="0046077D"/>
    <w:rsid w:val="0046085E"/>
    <w:rsid w:val="00460D62"/>
    <w:rsid w:val="004617B9"/>
    <w:rsid w:val="00461C37"/>
    <w:rsid w:val="0046350A"/>
    <w:rsid w:val="0046351D"/>
    <w:rsid w:val="00463811"/>
    <w:rsid w:val="0046497A"/>
    <w:rsid w:val="00464BA3"/>
    <w:rsid w:val="00465F82"/>
    <w:rsid w:val="00466F5A"/>
    <w:rsid w:val="00467F0B"/>
    <w:rsid w:val="00470A67"/>
    <w:rsid w:val="00470AF0"/>
    <w:rsid w:val="00471BAD"/>
    <w:rsid w:val="00471E23"/>
    <w:rsid w:val="004720F0"/>
    <w:rsid w:val="0047255B"/>
    <w:rsid w:val="00472C5A"/>
    <w:rsid w:val="00472D0B"/>
    <w:rsid w:val="00472E34"/>
    <w:rsid w:val="00474057"/>
    <w:rsid w:val="004741B0"/>
    <w:rsid w:val="0047422F"/>
    <w:rsid w:val="00474501"/>
    <w:rsid w:val="004751C0"/>
    <w:rsid w:val="00475569"/>
    <w:rsid w:val="0047565B"/>
    <w:rsid w:val="004759B1"/>
    <w:rsid w:val="00476119"/>
    <w:rsid w:val="00476B69"/>
    <w:rsid w:val="00476C22"/>
    <w:rsid w:val="0047733A"/>
    <w:rsid w:val="00477FFC"/>
    <w:rsid w:val="00480681"/>
    <w:rsid w:val="004806BD"/>
    <w:rsid w:val="00480B6F"/>
    <w:rsid w:val="00481182"/>
    <w:rsid w:val="00481224"/>
    <w:rsid w:val="00481A9D"/>
    <w:rsid w:val="00481EE4"/>
    <w:rsid w:val="004829F9"/>
    <w:rsid w:val="00483A3A"/>
    <w:rsid w:val="00484023"/>
    <w:rsid w:val="004850CB"/>
    <w:rsid w:val="00485184"/>
    <w:rsid w:val="004862F2"/>
    <w:rsid w:val="00486458"/>
    <w:rsid w:val="00486833"/>
    <w:rsid w:val="00486862"/>
    <w:rsid w:val="00487237"/>
    <w:rsid w:val="0048760B"/>
    <w:rsid w:val="004879AF"/>
    <w:rsid w:val="00487EB7"/>
    <w:rsid w:val="0049102F"/>
    <w:rsid w:val="0049154A"/>
    <w:rsid w:val="00492098"/>
    <w:rsid w:val="004927D0"/>
    <w:rsid w:val="00492969"/>
    <w:rsid w:val="004940C7"/>
    <w:rsid w:val="00494654"/>
    <w:rsid w:val="00494B39"/>
    <w:rsid w:val="00494C34"/>
    <w:rsid w:val="00494D1A"/>
    <w:rsid w:val="004954E3"/>
    <w:rsid w:val="00496168"/>
    <w:rsid w:val="00496965"/>
    <w:rsid w:val="00496F0D"/>
    <w:rsid w:val="0049753A"/>
    <w:rsid w:val="0049790B"/>
    <w:rsid w:val="00497915"/>
    <w:rsid w:val="00497D12"/>
    <w:rsid w:val="004A03BF"/>
    <w:rsid w:val="004A0B0A"/>
    <w:rsid w:val="004A138E"/>
    <w:rsid w:val="004A3481"/>
    <w:rsid w:val="004A44D0"/>
    <w:rsid w:val="004A4E63"/>
    <w:rsid w:val="004A562D"/>
    <w:rsid w:val="004A6585"/>
    <w:rsid w:val="004A6EDD"/>
    <w:rsid w:val="004A7657"/>
    <w:rsid w:val="004B1354"/>
    <w:rsid w:val="004B1719"/>
    <w:rsid w:val="004B39A3"/>
    <w:rsid w:val="004B47B4"/>
    <w:rsid w:val="004B47EE"/>
    <w:rsid w:val="004B4B84"/>
    <w:rsid w:val="004B4DB8"/>
    <w:rsid w:val="004B534B"/>
    <w:rsid w:val="004B5ACB"/>
    <w:rsid w:val="004B61B7"/>
    <w:rsid w:val="004B6263"/>
    <w:rsid w:val="004B6ED4"/>
    <w:rsid w:val="004B7128"/>
    <w:rsid w:val="004B7E28"/>
    <w:rsid w:val="004C00A3"/>
    <w:rsid w:val="004C00E3"/>
    <w:rsid w:val="004C10F4"/>
    <w:rsid w:val="004C1B6E"/>
    <w:rsid w:val="004C1D56"/>
    <w:rsid w:val="004C2545"/>
    <w:rsid w:val="004C313A"/>
    <w:rsid w:val="004C3620"/>
    <w:rsid w:val="004C430B"/>
    <w:rsid w:val="004C4C67"/>
    <w:rsid w:val="004C4EF1"/>
    <w:rsid w:val="004C664B"/>
    <w:rsid w:val="004C6AD4"/>
    <w:rsid w:val="004C7785"/>
    <w:rsid w:val="004C78E9"/>
    <w:rsid w:val="004C7A78"/>
    <w:rsid w:val="004D0669"/>
    <w:rsid w:val="004D06FB"/>
    <w:rsid w:val="004D0871"/>
    <w:rsid w:val="004D257A"/>
    <w:rsid w:val="004D2F0B"/>
    <w:rsid w:val="004D3703"/>
    <w:rsid w:val="004D3C05"/>
    <w:rsid w:val="004D3CAB"/>
    <w:rsid w:val="004D4CD0"/>
    <w:rsid w:val="004D610F"/>
    <w:rsid w:val="004D63A7"/>
    <w:rsid w:val="004D65B4"/>
    <w:rsid w:val="004D7274"/>
    <w:rsid w:val="004E0498"/>
    <w:rsid w:val="004E17F3"/>
    <w:rsid w:val="004E23B3"/>
    <w:rsid w:val="004E2438"/>
    <w:rsid w:val="004E258F"/>
    <w:rsid w:val="004E2941"/>
    <w:rsid w:val="004E2C16"/>
    <w:rsid w:val="004E3B35"/>
    <w:rsid w:val="004E3CC8"/>
    <w:rsid w:val="004E3F35"/>
    <w:rsid w:val="004E4967"/>
    <w:rsid w:val="004E4DA3"/>
    <w:rsid w:val="004E5160"/>
    <w:rsid w:val="004E58F4"/>
    <w:rsid w:val="004E64A1"/>
    <w:rsid w:val="004E6622"/>
    <w:rsid w:val="004E692B"/>
    <w:rsid w:val="004E717C"/>
    <w:rsid w:val="004E7566"/>
    <w:rsid w:val="004E76C6"/>
    <w:rsid w:val="004E7862"/>
    <w:rsid w:val="004F0ADF"/>
    <w:rsid w:val="004F231F"/>
    <w:rsid w:val="004F28C3"/>
    <w:rsid w:val="004F2CA0"/>
    <w:rsid w:val="004F3017"/>
    <w:rsid w:val="004F3448"/>
    <w:rsid w:val="004F3684"/>
    <w:rsid w:val="004F468D"/>
    <w:rsid w:val="004F4E2D"/>
    <w:rsid w:val="004F526E"/>
    <w:rsid w:val="004F5CB3"/>
    <w:rsid w:val="004F6316"/>
    <w:rsid w:val="004F6F38"/>
    <w:rsid w:val="004F741E"/>
    <w:rsid w:val="004F74BB"/>
    <w:rsid w:val="004F7BDB"/>
    <w:rsid w:val="00500CBB"/>
    <w:rsid w:val="005017C0"/>
    <w:rsid w:val="00502082"/>
    <w:rsid w:val="00502913"/>
    <w:rsid w:val="00502946"/>
    <w:rsid w:val="00502F7F"/>
    <w:rsid w:val="0050330F"/>
    <w:rsid w:val="0050384C"/>
    <w:rsid w:val="00503C82"/>
    <w:rsid w:val="00504DE7"/>
    <w:rsid w:val="005066E3"/>
    <w:rsid w:val="00506A5A"/>
    <w:rsid w:val="00506D41"/>
    <w:rsid w:val="0050710C"/>
    <w:rsid w:val="00507127"/>
    <w:rsid w:val="005071C0"/>
    <w:rsid w:val="005073A5"/>
    <w:rsid w:val="00507A6E"/>
    <w:rsid w:val="00510629"/>
    <w:rsid w:val="005106D4"/>
    <w:rsid w:val="0051137B"/>
    <w:rsid w:val="00511DA0"/>
    <w:rsid w:val="00511E4B"/>
    <w:rsid w:val="0051214F"/>
    <w:rsid w:val="00513022"/>
    <w:rsid w:val="005152FA"/>
    <w:rsid w:val="005156F2"/>
    <w:rsid w:val="00515865"/>
    <w:rsid w:val="005159A6"/>
    <w:rsid w:val="00515DA8"/>
    <w:rsid w:val="0051745D"/>
    <w:rsid w:val="0052082F"/>
    <w:rsid w:val="00521ACC"/>
    <w:rsid w:val="00521EE9"/>
    <w:rsid w:val="005226CB"/>
    <w:rsid w:val="00522D4D"/>
    <w:rsid w:val="00523CE8"/>
    <w:rsid w:val="005245C4"/>
    <w:rsid w:val="0052476A"/>
    <w:rsid w:val="00524E2D"/>
    <w:rsid w:val="005254B3"/>
    <w:rsid w:val="005259A9"/>
    <w:rsid w:val="00526614"/>
    <w:rsid w:val="0052690B"/>
    <w:rsid w:val="00526A53"/>
    <w:rsid w:val="00527C87"/>
    <w:rsid w:val="005311DA"/>
    <w:rsid w:val="0053186F"/>
    <w:rsid w:val="005318B5"/>
    <w:rsid w:val="00531CA7"/>
    <w:rsid w:val="00531E3B"/>
    <w:rsid w:val="0053289A"/>
    <w:rsid w:val="00532BD0"/>
    <w:rsid w:val="005333A2"/>
    <w:rsid w:val="00533CA3"/>
    <w:rsid w:val="00535C68"/>
    <w:rsid w:val="00536513"/>
    <w:rsid w:val="00536572"/>
    <w:rsid w:val="00536900"/>
    <w:rsid w:val="00536C52"/>
    <w:rsid w:val="0053704C"/>
    <w:rsid w:val="005400EC"/>
    <w:rsid w:val="00540610"/>
    <w:rsid w:val="0054080F"/>
    <w:rsid w:val="00540C63"/>
    <w:rsid w:val="00540DDB"/>
    <w:rsid w:val="00541210"/>
    <w:rsid w:val="00542287"/>
    <w:rsid w:val="005427AD"/>
    <w:rsid w:val="0054301E"/>
    <w:rsid w:val="005431DC"/>
    <w:rsid w:val="0054334B"/>
    <w:rsid w:val="005435BF"/>
    <w:rsid w:val="00543A0B"/>
    <w:rsid w:val="00543F4C"/>
    <w:rsid w:val="00544D63"/>
    <w:rsid w:val="005457A6"/>
    <w:rsid w:val="00545A8F"/>
    <w:rsid w:val="00545CDA"/>
    <w:rsid w:val="00546C81"/>
    <w:rsid w:val="005470CB"/>
    <w:rsid w:val="005475A7"/>
    <w:rsid w:val="005479E4"/>
    <w:rsid w:val="00547D95"/>
    <w:rsid w:val="00547E0A"/>
    <w:rsid w:val="0055034A"/>
    <w:rsid w:val="00550719"/>
    <w:rsid w:val="005516E9"/>
    <w:rsid w:val="00551725"/>
    <w:rsid w:val="00552264"/>
    <w:rsid w:val="005524A1"/>
    <w:rsid w:val="00552831"/>
    <w:rsid w:val="00552A70"/>
    <w:rsid w:val="00552CF7"/>
    <w:rsid w:val="005535A2"/>
    <w:rsid w:val="00553A12"/>
    <w:rsid w:val="005542F6"/>
    <w:rsid w:val="00554908"/>
    <w:rsid w:val="00554C84"/>
    <w:rsid w:val="00554D15"/>
    <w:rsid w:val="005563F2"/>
    <w:rsid w:val="00557281"/>
    <w:rsid w:val="00557359"/>
    <w:rsid w:val="00557514"/>
    <w:rsid w:val="005575A1"/>
    <w:rsid w:val="0056026C"/>
    <w:rsid w:val="00560D63"/>
    <w:rsid w:val="00560DCA"/>
    <w:rsid w:val="00560FC9"/>
    <w:rsid w:val="00561364"/>
    <w:rsid w:val="0056145E"/>
    <w:rsid w:val="00562510"/>
    <w:rsid w:val="00562DE4"/>
    <w:rsid w:val="005630E1"/>
    <w:rsid w:val="0056383C"/>
    <w:rsid w:val="00563A0D"/>
    <w:rsid w:val="00563D24"/>
    <w:rsid w:val="00563EB2"/>
    <w:rsid w:val="005640AD"/>
    <w:rsid w:val="005648D9"/>
    <w:rsid w:val="005653B6"/>
    <w:rsid w:val="00565A9D"/>
    <w:rsid w:val="00565AEB"/>
    <w:rsid w:val="00567556"/>
    <w:rsid w:val="005676BA"/>
    <w:rsid w:val="00567B61"/>
    <w:rsid w:val="00570348"/>
    <w:rsid w:val="00570570"/>
    <w:rsid w:val="00570583"/>
    <w:rsid w:val="00570CCE"/>
    <w:rsid w:val="00570CF6"/>
    <w:rsid w:val="00570F4D"/>
    <w:rsid w:val="00571690"/>
    <w:rsid w:val="00571A1B"/>
    <w:rsid w:val="00571CD9"/>
    <w:rsid w:val="0057206E"/>
    <w:rsid w:val="00572484"/>
    <w:rsid w:val="005724CF"/>
    <w:rsid w:val="005725D9"/>
    <w:rsid w:val="00572B31"/>
    <w:rsid w:val="00572F1C"/>
    <w:rsid w:val="00573F21"/>
    <w:rsid w:val="0057473D"/>
    <w:rsid w:val="00575827"/>
    <w:rsid w:val="00575D12"/>
    <w:rsid w:val="005770A1"/>
    <w:rsid w:val="0057754A"/>
    <w:rsid w:val="005802CD"/>
    <w:rsid w:val="005808D3"/>
    <w:rsid w:val="00580C74"/>
    <w:rsid w:val="00581219"/>
    <w:rsid w:val="005813C4"/>
    <w:rsid w:val="005813D2"/>
    <w:rsid w:val="00581B2B"/>
    <w:rsid w:val="005820BD"/>
    <w:rsid w:val="00583126"/>
    <w:rsid w:val="00583282"/>
    <w:rsid w:val="00583ADA"/>
    <w:rsid w:val="00584295"/>
    <w:rsid w:val="0058482F"/>
    <w:rsid w:val="00584CAF"/>
    <w:rsid w:val="00584CBC"/>
    <w:rsid w:val="00584E1F"/>
    <w:rsid w:val="00584EC1"/>
    <w:rsid w:val="00586560"/>
    <w:rsid w:val="00586C5E"/>
    <w:rsid w:val="00586E47"/>
    <w:rsid w:val="0059042B"/>
    <w:rsid w:val="00590604"/>
    <w:rsid w:val="00592243"/>
    <w:rsid w:val="0059362B"/>
    <w:rsid w:val="00594722"/>
    <w:rsid w:val="00594C6E"/>
    <w:rsid w:val="0059547A"/>
    <w:rsid w:val="005958B7"/>
    <w:rsid w:val="00595EF8"/>
    <w:rsid w:val="00596D8E"/>
    <w:rsid w:val="0059741D"/>
    <w:rsid w:val="005A0EA0"/>
    <w:rsid w:val="005A262D"/>
    <w:rsid w:val="005A349A"/>
    <w:rsid w:val="005A35BE"/>
    <w:rsid w:val="005A3AD6"/>
    <w:rsid w:val="005A3CBB"/>
    <w:rsid w:val="005A4774"/>
    <w:rsid w:val="005A4945"/>
    <w:rsid w:val="005A524E"/>
    <w:rsid w:val="005A5614"/>
    <w:rsid w:val="005A5F2A"/>
    <w:rsid w:val="005A633A"/>
    <w:rsid w:val="005A68A8"/>
    <w:rsid w:val="005A754C"/>
    <w:rsid w:val="005A7F5E"/>
    <w:rsid w:val="005B0EB3"/>
    <w:rsid w:val="005B10CB"/>
    <w:rsid w:val="005B1799"/>
    <w:rsid w:val="005B180A"/>
    <w:rsid w:val="005B2696"/>
    <w:rsid w:val="005B29C4"/>
    <w:rsid w:val="005B2A31"/>
    <w:rsid w:val="005B2D02"/>
    <w:rsid w:val="005B2FB9"/>
    <w:rsid w:val="005B34AD"/>
    <w:rsid w:val="005B373B"/>
    <w:rsid w:val="005B3F22"/>
    <w:rsid w:val="005B40BE"/>
    <w:rsid w:val="005B4DF3"/>
    <w:rsid w:val="005B6021"/>
    <w:rsid w:val="005B6979"/>
    <w:rsid w:val="005B7F5F"/>
    <w:rsid w:val="005B7F86"/>
    <w:rsid w:val="005C23CB"/>
    <w:rsid w:val="005C2CBA"/>
    <w:rsid w:val="005C2EAE"/>
    <w:rsid w:val="005C2FE0"/>
    <w:rsid w:val="005C4033"/>
    <w:rsid w:val="005C42A6"/>
    <w:rsid w:val="005C5147"/>
    <w:rsid w:val="005C51CD"/>
    <w:rsid w:val="005C579F"/>
    <w:rsid w:val="005C5841"/>
    <w:rsid w:val="005C5AEB"/>
    <w:rsid w:val="005C5F5E"/>
    <w:rsid w:val="005C6220"/>
    <w:rsid w:val="005C6728"/>
    <w:rsid w:val="005C7B9B"/>
    <w:rsid w:val="005C7F2C"/>
    <w:rsid w:val="005D03C4"/>
    <w:rsid w:val="005D04A4"/>
    <w:rsid w:val="005D06FA"/>
    <w:rsid w:val="005D07A0"/>
    <w:rsid w:val="005D255E"/>
    <w:rsid w:val="005D295A"/>
    <w:rsid w:val="005D2D3E"/>
    <w:rsid w:val="005D3CCD"/>
    <w:rsid w:val="005D3CE7"/>
    <w:rsid w:val="005D4061"/>
    <w:rsid w:val="005D40C3"/>
    <w:rsid w:val="005D4427"/>
    <w:rsid w:val="005D51B2"/>
    <w:rsid w:val="005D583A"/>
    <w:rsid w:val="005D6487"/>
    <w:rsid w:val="005D6B5E"/>
    <w:rsid w:val="005D71B5"/>
    <w:rsid w:val="005D7988"/>
    <w:rsid w:val="005E0666"/>
    <w:rsid w:val="005E0F07"/>
    <w:rsid w:val="005E1212"/>
    <w:rsid w:val="005E16C8"/>
    <w:rsid w:val="005E22C1"/>
    <w:rsid w:val="005E2EE5"/>
    <w:rsid w:val="005E3572"/>
    <w:rsid w:val="005E4148"/>
    <w:rsid w:val="005E6E23"/>
    <w:rsid w:val="005E7A2E"/>
    <w:rsid w:val="005E7A7F"/>
    <w:rsid w:val="005E7AFF"/>
    <w:rsid w:val="005E7D26"/>
    <w:rsid w:val="005E7E24"/>
    <w:rsid w:val="005E7E52"/>
    <w:rsid w:val="005F017A"/>
    <w:rsid w:val="005F0C51"/>
    <w:rsid w:val="005F0CD1"/>
    <w:rsid w:val="005F0E04"/>
    <w:rsid w:val="005F1677"/>
    <w:rsid w:val="005F24CE"/>
    <w:rsid w:val="005F353D"/>
    <w:rsid w:val="005F35CE"/>
    <w:rsid w:val="005F3B2C"/>
    <w:rsid w:val="005F42E8"/>
    <w:rsid w:val="005F4411"/>
    <w:rsid w:val="005F6E1E"/>
    <w:rsid w:val="005F6E74"/>
    <w:rsid w:val="005F7166"/>
    <w:rsid w:val="006005A2"/>
    <w:rsid w:val="00600ABE"/>
    <w:rsid w:val="0060112B"/>
    <w:rsid w:val="00602282"/>
    <w:rsid w:val="00604BA6"/>
    <w:rsid w:val="00604F18"/>
    <w:rsid w:val="00605FD5"/>
    <w:rsid w:val="00605FE0"/>
    <w:rsid w:val="0060626A"/>
    <w:rsid w:val="006068C9"/>
    <w:rsid w:val="0060711A"/>
    <w:rsid w:val="006076CD"/>
    <w:rsid w:val="00607804"/>
    <w:rsid w:val="00607A47"/>
    <w:rsid w:val="00607ABE"/>
    <w:rsid w:val="00610F2F"/>
    <w:rsid w:val="006113FD"/>
    <w:rsid w:val="0061168C"/>
    <w:rsid w:val="00611902"/>
    <w:rsid w:val="00614204"/>
    <w:rsid w:val="006153EC"/>
    <w:rsid w:val="00615694"/>
    <w:rsid w:val="0061598F"/>
    <w:rsid w:val="006163BA"/>
    <w:rsid w:val="00616AD8"/>
    <w:rsid w:val="00616D44"/>
    <w:rsid w:val="00617167"/>
    <w:rsid w:val="006177A7"/>
    <w:rsid w:val="0062003B"/>
    <w:rsid w:val="0062064B"/>
    <w:rsid w:val="00620ED7"/>
    <w:rsid w:val="0062176B"/>
    <w:rsid w:val="00621B04"/>
    <w:rsid w:val="006222E6"/>
    <w:rsid w:val="00623725"/>
    <w:rsid w:val="00624600"/>
    <w:rsid w:val="0062471B"/>
    <w:rsid w:val="006250EA"/>
    <w:rsid w:val="0062569B"/>
    <w:rsid w:val="00625B99"/>
    <w:rsid w:val="00625EAC"/>
    <w:rsid w:val="006273BF"/>
    <w:rsid w:val="006277EE"/>
    <w:rsid w:val="00630BE7"/>
    <w:rsid w:val="00630CAB"/>
    <w:rsid w:val="0063116A"/>
    <w:rsid w:val="0063136A"/>
    <w:rsid w:val="006314C4"/>
    <w:rsid w:val="00631B92"/>
    <w:rsid w:val="006321EB"/>
    <w:rsid w:val="00633216"/>
    <w:rsid w:val="00633D2C"/>
    <w:rsid w:val="00634881"/>
    <w:rsid w:val="0063550F"/>
    <w:rsid w:val="0063671D"/>
    <w:rsid w:val="006368A5"/>
    <w:rsid w:val="00636C4F"/>
    <w:rsid w:val="00637506"/>
    <w:rsid w:val="0063771F"/>
    <w:rsid w:val="00637A3F"/>
    <w:rsid w:val="006402E5"/>
    <w:rsid w:val="00640625"/>
    <w:rsid w:val="00640D93"/>
    <w:rsid w:val="006411F0"/>
    <w:rsid w:val="00641609"/>
    <w:rsid w:val="006419CE"/>
    <w:rsid w:val="00643E8C"/>
    <w:rsid w:val="006441CF"/>
    <w:rsid w:val="0064610A"/>
    <w:rsid w:val="00650470"/>
    <w:rsid w:val="006513E3"/>
    <w:rsid w:val="0065390E"/>
    <w:rsid w:val="0065418B"/>
    <w:rsid w:val="00654729"/>
    <w:rsid w:val="00654E01"/>
    <w:rsid w:val="00655CAA"/>
    <w:rsid w:val="006560E5"/>
    <w:rsid w:val="00656DC0"/>
    <w:rsid w:val="00657008"/>
    <w:rsid w:val="0065708B"/>
    <w:rsid w:val="006573FC"/>
    <w:rsid w:val="006579DF"/>
    <w:rsid w:val="00657F22"/>
    <w:rsid w:val="0066059A"/>
    <w:rsid w:val="00660654"/>
    <w:rsid w:val="00661C41"/>
    <w:rsid w:val="00661F78"/>
    <w:rsid w:val="006622C9"/>
    <w:rsid w:val="0066255B"/>
    <w:rsid w:val="00662B30"/>
    <w:rsid w:val="00662C85"/>
    <w:rsid w:val="006630DB"/>
    <w:rsid w:val="00663B1D"/>
    <w:rsid w:val="00664B88"/>
    <w:rsid w:val="006654B1"/>
    <w:rsid w:val="00665F57"/>
    <w:rsid w:val="006666D2"/>
    <w:rsid w:val="00667E44"/>
    <w:rsid w:val="006701CE"/>
    <w:rsid w:val="006702EC"/>
    <w:rsid w:val="00670695"/>
    <w:rsid w:val="00670A42"/>
    <w:rsid w:val="00670CD3"/>
    <w:rsid w:val="006715AE"/>
    <w:rsid w:val="006719A6"/>
    <w:rsid w:val="006727EB"/>
    <w:rsid w:val="00672D0C"/>
    <w:rsid w:val="00672FA5"/>
    <w:rsid w:val="006731CA"/>
    <w:rsid w:val="0067358F"/>
    <w:rsid w:val="0067414C"/>
    <w:rsid w:val="00674291"/>
    <w:rsid w:val="00674732"/>
    <w:rsid w:val="00675340"/>
    <w:rsid w:val="00675402"/>
    <w:rsid w:val="00675454"/>
    <w:rsid w:val="0067568A"/>
    <w:rsid w:val="00675F96"/>
    <w:rsid w:val="006760A9"/>
    <w:rsid w:val="00676236"/>
    <w:rsid w:val="00677B6D"/>
    <w:rsid w:val="00680F47"/>
    <w:rsid w:val="006829B7"/>
    <w:rsid w:val="00682F07"/>
    <w:rsid w:val="006848F0"/>
    <w:rsid w:val="00684B0C"/>
    <w:rsid w:val="006857FD"/>
    <w:rsid w:val="00685EBD"/>
    <w:rsid w:val="0068692C"/>
    <w:rsid w:val="006871BA"/>
    <w:rsid w:val="0068739F"/>
    <w:rsid w:val="00690BF5"/>
    <w:rsid w:val="00691597"/>
    <w:rsid w:val="006916FF"/>
    <w:rsid w:val="006920CA"/>
    <w:rsid w:val="006929B6"/>
    <w:rsid w:val="00692D61"/>
    <w:rsid w:val="00692D6A"/>
    <w:rsid w:val="00692E4C"/>
    <w:rsid w:val="006930C5"/>
    <w:rsid w:val="006932B4"/>
    <w:rsid w:val="00693678"/>
    <w:rsid w:val="0069394C"/>
    <w:rsid w:val="00693A2D"/>
    <w:rsid w:val="00695436"/>
    <w:rsid w:val="00695762"/>
    <w:rsid w:val="00696341"/>
    <w:rsid w:val="00696A65"/>
    <w:rsid w:val="006970B4"/>
    <w:rsid w:val="006A0E50"/>
    <w:rsid w:val="006A1034"/>
    <w:rsid w:val="006A103B"/>
    <w:rsid w:val="006A1EB0"/>
    <w:rsid w:val="006A22C6"/>
    <w:rsid w:val="006A2B97"/>
    <w:rsid w:val="006A2CEB"/>
    <w:rsid w:val="006A4AA7"/>
    <w:rsid w:val="006A4BB0"/>
    <w:rsid w:val="006A4FC4"/>
    <w:rsid w:val="006A5351"/>
    <w:rsid w:val="006A599B"/>
    <w:rsid w:val="006A59E6"/>
    <w:rsid w:val="006A5B58"/>
    <w:rsid w:val="006A5D8D"/>
    <w:rsid w:val="006A5F15"/>
    <w:rsid w:val="006A61B9"/>
    <w:rsid w:val="006A6C59"/>
    <w:rsid w:val="006A6E20"/>
    <w:rsid w:val="006A6F8B"/>
    <w:rsid w:val="006A70D4"/>
    <w:rsid w:val="006A77A2"/>
    <w:rsid w:val="006A7F2D"/>
    <w:rsid w:val="006B0650"/>
    <w:rsid w:val="006B13E4"/>
    <w:rsid w:val="006B17CB"/>
    <w:rsid w:val="006B369C"/>
    <w:rsid w:val="006B399A"/>
    <w:rsid w:val="006B4123"/>
    <w:rsid w:val="006B465A"/>
    <w:rsid w:val="006B486B"/>
    <w:rsid w:val="006B5691"/>
    <w:rsid w:val="006B5844"/>
    <w:rsid w:val="006B71B7"/>
    <w:rsid w:val="006B7325"/>
    <w:rsid w:val="006B7E79"/>
    <w:rsid w:val="006C01D0"/>
    <w:rsid w:val="006C0AC1"/>
    <w:rsid w:val="006C0D40"/>
    <w:rsid w:val="006C1266"/>
    <w:rsid w:val="006C12FB"/>
    <w:rsid w:val="006C14E4"/>
    <w:rsid w:val="006C22B9"/>
    <w:rsid w:val="006C3213"/>
    <w:rsid w:val="006C4026"/>
    <w:rsid w:val="006C441D"/>
    <w:rsid w:val="006C500E"/>
    <w:rsid w:val="006C5D06"/>
    <w:rsid w:val="006C6087"/>
    <w:rsid w:val="006C63F1"/>
    <w:rsid w:val="006C698B"/>
    <w:rsid w:val="006D0080"/>
    <w:rsid w:val="006D1448"/>
    <w:rsid w:val="006D1A93"/>
    <w:rsid w:val="006D1C5E"/>
    <w:rsid w:val="006D25A3"/>
    <w:rsid w:val="006D285D"/>
    <w:rsid w:val="006D2F3A"/>
    <w:rsid w:val="006D383B"/>
    <w:rsid w:val="006D3B42"/>
    <w:rsid w:val="006D45F2"/>
    <w:rsid w:val="006D55DD"/>
    <w:rsid w:val="006D6879"/>
    <w:rsid w:val="006D6C9C"/>
    <w:rsid w:val="006D6CEE"/>
    <w:rsid w:val="006D79EA"/>
    <w:rsid w:val="006E03FA"/>
    <w:rsid w:val="006E0784"/>
    <w:rsid w:val="006E0EAD"/>
    <w:rsid w:val="006E114F"/>
    <w:rsid w:val="006E1602"/>
    <w:rsid w:val="006E17D0"/>
    <w:rsid w:val="006E1F5A"/>
    <w:rsid w:val="006E2856"/>
    <w:rsid w:val="006E3471"/>
    <w:rsid w:val="006E3AE1"/>
    <w:rsid w:val="006E3F05"/>
    <w:rsid w:val="006E45CD"/>
    <w:rsid w:val="006E4990"/>
    <w:rsid w:val="006E576D"/>
    <w:rsid w:val="006E5DA4"/>
    <w:rsid w:val="006E7121"/>
    <w:rsid w:val="006F1BF0"/>
    <w:rsid w:val="006F21ED"/>
    <w:rsid w:val="006F2419"/>
    <w:rsid w:val="006F2D13"/>
    <w:rsid w:val="006F391D"/>
    <w:rsid w:val="006F488B"/>
    <w:rsid w:val="006F4A20"/>
    <w:rsid w:val="006F552D"/>
    <w:rsid w:val="006F555C"/>
    <w:rsid w:val="006F5F52"/>
    <w:rsid w:val="006F5FFA"/>
    <w:rsid w:val="006F6712"/>
    <w:rsid w:val="006F707C"/>
    <w:rsid w:val="006F746C"/>
    <w:rsid w:val="006F7704"/>
    <w:rsid w:val="006F7F11"/>
    <w:rsid w:val="00701181"/>
    <w:rsid w:val="00701665"/>
    <w:rsid w:val="0070193A"/>
    <w:rsid w:val="00702491"/>
    <w:rsid w:val="0070261B"/>
    <w:rsid w:val="00702707"/>
    <w:rsid w:val="007028E8"/>
    <w:rsid w:val="00703A66"/>
    <w:rsid w:val="007048F3"/>
    <w:rsid w:val="00704D28"/>
    <w:rsid w:val="007050F1"/>
    <w:rsid w:val="00705C97"/>
    <w:rsid w:val="007062E5"/>
    <w:rsid w:val="0070742F"/>
    <w:rsid w:val="007100AE"/>
    <w:rsid w:val="0071016E"/>
    <w:rsid w:val="0071102E"/>
    <w:rsid w:val="00711118"/>
    <w:rsid w:val="007111D8"/>
    <w:rsid w:val="00711658"/>
    <w:rsid w:val="00711FF6"/>
    <w:rsid w:val="00712145"/>
    <w:rsid w:val="00712962"/>
    <w:rsid w:val="00712CDC"/>
    <w:rsid w:val="00714134"/>
    <w:rsid w:val="00714410"/>
    <w:rsid w:val="00714801"/>
    <w:rsid w:val="00714C61"/>
    <w:rsid w:val="00716E4E"/>
    <w:rsid w:val="00717090"/>
    <w:rsid w:val="007172B0"/>
    <w:rsid w:val="00720083"/>
    <w:rsid w:val="0072089C"/>
    <w:rsid w:val="00720933"/>
    <w:rsid w:val="00720D34"/>
    <w:rsid w:val="00721012"/>
    <w:rsid w:val="00722AF4"/>
    <w:rsid w:val="0072348F"/>
    <w:rsid w:val="00724446"/>
    <w:rsid w:val="007254D5"/>
    <w:rsid w:val="007257CD"/>
    <w:rsid w:val="00726A0C"/>
    <w:rsid w:val="007306F5"/>
    <w:rsid w:val="00731372"/>
    <w:rsid w:val="00731C70"/>
    <w:rsid w:val="007328CE"/>
    <w:rsid w:val="00732BD3"/>
    <w:rsid w:val="007331EE"/>
    <w:rsid w:val="00734650"/>
    <w:rsid w:val="00734E93"/>
    <w:rsid w:val="00735559"/>
    <w:rsid w:val="00735C73"/>
    <w:rsid w:val="00735E3D"/>
    <w:rsid w:val="00736265"/>
    <w:rsid w:val="00736592"/>
    <w:rsid w:val="00736811"/>
    <w:rsid w:val="00736D21"/>
    <w:rsid w:val="00737046"/>
    <w:rsid w:val="007378CB"/>
    <w:rsid w:val="00737996"/>
    <w:rsid w:val="00737EA2"/>
    <w:rsid w:val="00740AD6"/>
    <w:rsid w:val="007410EF"/>
    <w:rsid w:val="007442EC"/>
    <w:rsid w:val="007448D2"/>
    <w:rsid w:val="007451D2"/>
    <w:rsid w:val="007461D7"/>
    <w:rsid w:val="00746B57"/>
    <w:rsid w:val="007471A2"/>
    <w:rsid w:val="0074749B"/>
    <w:rsid w:val="00747714"/>
    <w:rsid w:val="00747866"/>
    <w:rsid w:val="00747DA3"/>
    <w:rsid w:val="00750676"/>
    <w:rsid w:val="00751FEF"/>
    <w:rsid w:val="00752152"/>
    <w:rsid w:val="007523FE"/>
    <w:rsid w:val="00752863"/>
    <w:rsid w:val="007533E3"/>
    <w:rsid w:val="00753AC3"/>
    <w:rsid w:val="00753D11"/>
    <w:rsid w:val="00753F6B"/>
    <w:rsid w:val="0075407E"/>
    <w:rsid w:val="00754549"/>
    <w:rsid w:val="007546E2"/>
    <w:rsid w:val="007547BE"/>
    <w:rsid w:val="007551BD"/>
    <w:rsid w:val="00755F78"/>
    <w:rsid w:val="00755FBA"/>
    <w:rsid w:val="00756B44"/>
    <w:rsid w:val="00756F24"/>
    <w:rsid w:val="0075709D"/>
    <w:rsid w:val="007572FC"/>
    <w:rsid w:val="00757F85"/>
    <w:rsid w:val="00760E65"/>
    <w:rsid w:val="007610D4"/>
    <w:rsid w:val="0076145F"/>
    <w:rsid w:val="0076165F"/>
    <w:rsid w:val="0076196A"/>
    <w:rsid w:val="00762BF8"/>
    <w:rsid w:val="00762E90"/>
    <w:rsid w:val="007638D5"/>
    <w:rsid w:val="00763A18"/>
    <w:rsid w:val="00763C30"/>
    <w:rsid w:val="00763CB2"/>
    <w:rsid w:val="00764059"/>
    <w:rsid w:val="0076442E"/>
    <w:rsid w:val="00764491"/>
    <w:rsid w:val="0076461C"/>
    <w:rsid w:val="007653F4"/>
    <w:rsid w:val="0076597A"/>
    <w:rsid w:val="00765CEE"/>
    <w:rsid w:val="00765F54"/>
    <w:rsid w:val="00766392"/>
    <w:rsid w:val="007665DE"/>
    <w:rsid w:val="0076793D"/>
    <w:rsid w:val="007679B1"/>
    <w:rsid w:val="007702C6"/>
    <w:rsid w:val="00770B54"/>
    <w:rsid w:val="0077135B"/>
    <w:rsid w:val="00771AAE"/>
    <w:rsid w:val="00772478"/>
    <w:rsid w:val="00772FEB"/>
    <w:rsid w:val="007733E7"/>
    <w:rsid w:val="00773F08"/>
    <w:rsid w:val="00774065"/>
    <w:rsid w:val="00774275"/>
    <w:rsid w:val="00774644"/>
    <w:rsid w:val="00774745"/>
    <w:rsid w:val="007747DC"/>
    <w:rsid w:val="0077620C"/>
    <w:rsid w:val="00776335"/>
    <w:rsid w:val="00777078"/>
    <w:rsid w:val="0077778A"/>
    <w:rsid w:val="00777D9E"/>
    <w:rsid w:val="0078067C"/>
    <w:rsid w:val="00780DB2"/>
    <w:rsid w:val="0078361B"/>
    <w:rsid w:val="00783765"/>
    <w:rsid w:val="0078386C"/>
    <w:rsid w:val="00783C87"/>
    <w:rsid w:val="00784750"/>
    <w:rsid w:val="0078483D"/>
    <w:rsid w:val="007851C3"/>
    <w:rsid w:val="00785404"/>
    <w:rsid w:val="007854C5"/>
    <w:rsid w:val="00785D70"/>
    <w:rsid w:val="00786455"/>
    <w:rsid w:val="0078698F"/>
    <w:rsid w:val="00787686"/>
    <w:rsid w:val="00787ABB"/>
    <w:rsid w:val="00787ABD"/>
    <w:rsid w:val="00787B05"/>
    <w:rsid w:val="00787E07"/>
    <w:rsid w:val="00790C18"/>
    <w:rsid w:val="007913FB"/>
    <w:rsid w:val="00791950"/>
    <w:rsid w:val="00791AF4"/>
    <w:rsid w:val="00791EA5"/>
    <w:rsid w:val="00791EC2"/>
    <w:rsid w:val="00793321"/>
    <w:rsid w:val="007934DB"/>
    <w:rsid w:val="0079423F"/>
    <w:rsid w:val="00794825"/>
    <w:rsid w:val="0079581B"/>
    <w:rsid w:val="0079720E"/>
    <w:rsid w:val="0079723C"/>
    <w:rsid w:val="007975E4"/>
    <w:rsid w:val="0079794C"/>
    <w:rsid w:val="00797A99"/>
    <w:rsid w:val="007A008D"/>
    <w:rsid w:val="007A0230"/>
    <w:rsid w:val="007A108A"/>
    <w:rsid w:val="007A1842"/>
    <w:rsid w:val="007A1BEC"/>
    <w:rsid w:val="007A1CE6"/>
    <w:rsid w:val="007A1EC5"/>
    <w:rsid w:val="007A24F2"/>
    <w:rsid w:val="007A3CE2"/>
    <w:rsid w:val="007A451B"/>
    <w:rsid w:val="007A4FC8"/>
    <w:rsid w:val="007A64EB"/>
    <w:rsid w:val="007A65E7"/>
    <w:rsid w:val="007A75DF"/>
    <w:rsid w:val="007A7815"/>
    <w:rsid w:val="007B057B"/>
    <w:rsid w:val="007B0646"/>
    <w:rsid w:val="007B078D"/>
    <w:rsid w:val="007B0D25"/>
    <w:rsid w:val="007B16D0"/>
    <w:rsid w:val="007B224D"/>
    <w:rsid w:val="007B3EF5"/>
    <w:rsid w:val="007B3FC8"/>
    <w:rsid w:val="007B4100"/>
    <w:rsid w:val="007B4B97"/>
    <w:rsid w:val="007B550E"/>
    <w:rsid w:val="007B57FC"/>
    <w:rsid w:val="007B59F4"/>
    <w:rsid w:val="007B5A18"/>
    <w:rsid w:val="007B6702"/>
    <w:rsid w:val="007B72D0"/>
    <w:rsid w:val="007B7CE4"/>
    <w:rsid w:val="007B7E65"/>
    <w:rsid w:val="007C0C1D"/>
    <w:rsid w:val="007C243F"/>
    <w:rsid w:val="007C2E9F"/>
    <w:rsid w:val="007C3A85"/>
    <w:rsid w:val="007C4120"/>
    <w:rsid w:val="007C42F4"/>
    <w:rsid w:val="007C4B32"/>
    <w:rsid w:val="007C554F"/>
    <w:rsid w:val="007C5B46"/>
    <w:rsid w:val="007C6B5B"/>
    <w:rsid w:val="007C6CDC"/>
    <w:rsid w:val="007C7002"/>
    <w:rsid w:val="007C7412"/>
    <w:rsid w:val="007C79C0"/>
    <w:rsid w:val="007D01D2"/>
    <w:rsid w:val="007D05C3"/>
    <w:rsid w:val="007D0650"/>
    <w:rsid w:val="007D15F7"/>
    <w:rsid w:val="007D2AFF"/>
    <w:rsid w:val="007D2D33"/>
    <w:rsid w:val="007D30B1"/>
    <w:rsid w:val="007D3AE4"/>
    <w:rsid w:val="007D4387"/>
    <w:rsid w:val="007D439C"/>
    <w:rsid w:val="007D4567"/>
    <w:rsid w:val="007D492E"/>
    <w:rsid w:val="007D5751"/>
    <w:rsid w:val="007D62A6"/>
    <w:rsid w:val="007D661C"/>
    <w:rsid w:val="007D67D7"/>
    <w:rsid w:val="007D6E6F"/>
    <w:rsid w:val="007D7C1D"/>
    <w:rsid w:val="007E0608"/>
    <w:rsid w:val="007E0B03"/>
    <w:rsid w:val="007E14AA"/>
    <w:rsid w:val="007E1ACC"/>
    <w:rsid w:val="007E1BDF"/>
    <w:rsid w:val="007E24EC"/>
    <w:rsid w:val="007E28A1"/>
    <w:rsid w:val="007E338F"/>
    <w:rsid w:val="007E4666"/>
    <w:rsid w:val="007E5002"/>
    <w:rsid w:val="007E52C6"/>
    <w:rsid w:val="007E55D9"/>
    <w:rsid w:val="007E5BF2"/>
    <w:rsid w:val="007E6FAA"/>
    <w:rsid w:val="007E7838"/>
    <w:rsid w:val="007E7C85"/>
    <w:rsid w:val="007E7DE5"/>
    <w:rsid w:val="007F0050"/>
    <w:rsid w:val="007F02CD"/>
    <w:rsid w:val="007F15EA"/>
    <w:rsid w:val="007F19DE"/>
    <w:rsid w:val="007F23F3"/>
    <w:rsid w:val="007F2D26"/>
    <w:rsid w:val="007F2FC5"/>
    <w:rsid w:val="007F3D9C"/>
    <w:rsid w:val="007F4A92"/>
    <w:rsid w:val="007F4EB6"/>
    <w:rsid w:val="007F6A5F"/>
    <w:rsid w:val="007F6BE0"/>
    <w:rsid w:val="007F7431"/>
    <w:rsid w:val="007F7565"/>
    <w:rsid w:val="0080130F"/>
    <w:rsid w:val="008013D4"/>
    <w:rsid w:val="00801419"/>
    <w:rsid w:val="00802B65"/>
    <w:rsid w:val="00803873"/>
    <w:rsid w:val="008040BD"/>
    <w:rsid w:val="00804700"/>
    <w:rsid w:val="0080591B"/>
    <w:rsid w:val="00805FF8"/>
    <w:rsid w:val="00806326"/>
    <w:rsid w:val="00807860"/>
    <w:rsid w:val="0081035E"/>
    <w:rsid w:val="008105F4"/>
    <w:rsid w:val="00810C72"/>
    <w:rsid w:val="008116BD"/>
    <w:rsid w:val="008125AE"/>
    <w:rsid w:val="00813BFB"/>
    <w:rsid w:val="00813CBE"/>
    <w:rsid w:val="00813F58"/>
    <w:rsid w:val="008142E2"/>
    <w:rsid w:val="00814C69"/>
    <w:rsid w:val="0081502C"/>
    <w:rsid w:val="008150CE"/>
    <w:rsid w:val="0081525C"/>
    <w:rsid w:val="00815418"/>
    <w:rsid w:val="0081546E"/>
    <w:rsid w:val="0081579D"/>
    <w:rsid w:val="00816ACD"/>
    <w:rsid w:val="00816E44"/>
    <w:rsid w:val="00817443"/>
    <w:rsid w:val="00817944"/>
    <w:rsid w:val="00817C1B"/>
    <w:rsid w:val="00820112"/>
    <w:rsid w:val="008204FB"/>
    <w:rsid w:val="00821286"/>
    <w:rsid w:val="008213E5"/>
    <w:rsid w:val="00821D64"/>
    <w:rsid w:val="00821D70"/>
    <w:rsid w:val="00821EE9"/>
    <w:rsid w:val="00821F61"/>
    <w:rsid w:val="00822908"/>
    <w:rsid w:val="00822CB5"/>
    <w:rsid w:val="00822E35"/>
    <w:rsid w:val="00823615"/>
    <w:rsid w:val="00824456"/>
    <w:rsid w:val="008248A4"/>
    <w:rsid w:val="00824C41"/>
    <w:rsid w:val="00825078"/>
    <w:rsid w:val="0082564A"/>
    <w:rsid w:val="00825ABA"/>
    <w:rsid w:val="00825D6E"/>
    <w:rsid w:val="00827CFD"/>
    <w:rsid w:val="008311C7"/>
    <w:rsid w:val="008315A7"/>
    <w:rsid w:val="00831F42"/>
    <w:rsid w:val="00831FCE"/>
    <w:rsid w:val="008333D2"/>
    <w:rsid w:val="00833F54"/>
    <w:rsid w:val="00835264"/>
    <w:rsid w:val="00835413"/>
    <w:rsid w:val="00836943"/>
    <w:rsid w:val="0083709C"/>
    <w:rsid w:val="0083740F"/>
    <w:rsid w:val="00837ABC"/>
    <w:rsid w:val="00840774"/>
    <w:rsid w:val="00841817"/>
    <w:rsid w:val="0084181C"/>
    <w:rsid w:val="0084189B"/>
    <w:rsid w:val="00841A43"/>
    <w:rsid w:val="00841B3F"/>
    <w:rsid w:val="0084200C"/>
    <w:rsid w:val="0084209F"/>
    <w:rsid w:val="00842DD3"/>
    <w:rsid w:val="008431DB"/>
    <w:rsid w:val="00843452"/>
    <w:rsid w:val="008435FA"/>
    <w:rsid w:val="00843B03"/>
    <w:rsid w:val="00845197"/>
    <w:rsid w:val="00845C58"/>
    <w:rsid w:val="008462E9"/>
    <w:rsid w:val="00846A30"/>
    <w:rsid w:val="008501A3"/>
    <w:rsid w:val="00850928"/>
    <w:rsid w:val="00851A12"/>
    <w:rsid w:val="00851D81"/>
    <w:rsid w:val="0085262D"/>
    <w:rsid w:val="008529EC"/>
    <w:rsid w:val="00852EA2"/>
    <w:rsid w:val="0085442B"/>
    <w:rsid w:val="00855A69"/>
    <w:rsid w:val="00855BE6"/>
    <w:rsid w:val="00855D4F"/>
    <w:rsid w:val="008571CE"/>
    <w:rsid w:val="0085755F"/>
    <w:rsid w:val="008576E4"/>
    <w:rsid w:val="008578A1"/>
    <w:rsid w:val="00857CFB"/>
    <w:rsid w:val="008601F2"/>
    <w:rsid w:val="0086041F"/>
    <w:rsid w:val="00861285"/>
    <w:rsid w:val="0086163E"/>
    <w:rsid w:val="008616C2"/>
    <w:rsid w:val="00861DCF"/>
    <w:rsid w:val="0086225F"/>
    <w:rsid w:val="00862A8E"/>
    <w:rsid w:val="00863EE4"/>
    <w:rsid w:val="00863F09"/>
    <w:rsid w:val="00867A93"/>
    <w:rsid w:val="0087055B"/>
    <w:rsid w:val="00870A2B"/>
    <w:rsid w:val="00871036"/>
    <w:rsid w:val="00871922"/>
    <w:rsid w:val="00871E78"/>
    <w:rsid w:val="008736E9"/>
    <w:rsid w:val="00873985"/>
    <w:rsid w:val="0087402C"/>
    <w:rsid w:val="008740BE"/>
    <w:rsid w:val="00875314"/>
    <w:rsid w:val="0087552B"/>
    <w:rsid w:val="00875FBC"/>
    <w:rsid w:val="008760D4"/>
    <w:rsid w:val="00876764"/>
    <w:rsid w:val="00876FDB"/>
    <w:rsid w:val="008773EF"/>
    <w:rsid w:val="00877914"/>
    <w:rsid w:val="00877C6C"/>
    <w:rsid w:val="00877EC0"/>
    <w:rsid w:val="00880061"/>
    <w:rsid w:val="008800B5"/>
    <w:rsid w:val="0088020D"/>
    <w:rsid w:val="00880E19"/>
    <w:rsid w:val="00881560"/>
    <w:rsid w:val="008817AE"/>
    <w:rsid w:val="0088213C"/>
    <w:rsid w:val="008824B9"/>
    <w:rsid w:val="008835C7"/>
    <w:rsid w:val="008835D4"/>
    <w:rsid w:val="00883740"/>
    <w:rsid w:val="00883DCB"/>
    <w:rsid w:val="00884446"/>
    <w:rsid w:val="008847DB"/>
    <w:rsid w:val="00884C6E"/>
    <w:rsid w:val="0088534D"/>
    <w:rsid w:val="0088546C"/>
    <w:rsid w:val="00887365"/>
    <w:rsid w:val="00890135"/>
    <w:rsid w:val="008903C9"/>
    <w:rsid w:val="00890619"/>
    <w:rsid w:val="008911B3"/>
    <w:rsid w:val="0089141F"/>
    <w:rsid w:val="008915AC"/>
    <w:rsid w:val="00892702"/>
    <w:rsid w:val="00892C56"/>
    <w:rsid w:val="008931D7"/>
    <w:rsid w:val="00893966"/>
    <w:rsid w:val="008950FD"/>
    <w:rsid w:val="008955BB"/>
    <w:rsid w:val="0089637C"/>
    <w:rsid w:val="00896769"/>
    <w:rsid w:val="008968D9"/>
    <w:rsid w:val="008971E5"/>
    <w:rsid w:val="008A0072"/>
    <w:rsid w:val="008A08E7"/>
    <w:rsid w:val="008A109D"/>
    <w:rsid w:val="008A11E8"/>
    <w:rsid w:val="008A1969"/>
    <w:rsid w:val="008A370E"/>
    <w:rsid w:val="008A3CA0"/>
    <w:rsid w:val="008A3D8E"/>
    <w:rsid w:val="008A40BF"/>
    <w:rsid w:val="008A4340"/>
    <w:rsid w:val="008A643F"/>
    <w:rsid w:val="008A66B2"/>
    <w:rsid w:val="008A777F"/>
    <w:rsid w:val="008A7870"/>
    <w:rsid w:val="008B0353"/>
    <w:rsid w:val="008B0597"/>
    <w:rsid w:val="008B17D1"/>
    <w:rsid w:val="008B1D89"/>
    <w:rsid w:val="008B1DEE"/>
    <w:rsid w:val="008B1EE0"/>
    <w:rsid w:val="008B2349"/>
    <w:rsid w:val="008B282C"/>
    <w:rsid w:val="008B3099"/>
    <w:rsid w:val="008B432D"/>
    <w:rsid w:val="008B4BAA"/>
    <w:rsid w:val="008B4CCF"/>
    <w:rsid w:val="008B50CB"/>
    <w:rsid w:val="008B5F12"/>
    <w:rsid w:val="008B6B21"/>
    <w:rsid w:val="008C0777"/>
    <w:rsid w:val="008C16D6"/>
    <w:rsid w:val="008C1C07"/>
    <w:rsid w:val="008C2188"/>
    <w:rsid w:val="008C21C3"/>
    <w:rsid w:val="008C22DD"/>
    <w:rsid w:val="008C2E5B"/>
    <w:rsid w:val="008C34F1"/>
    <w:rsid w:val="008C4C33"/>
    <w:rsid w:val="008C5375"/>
    <w:rsid w:val="008C571A"/>
    <w:rsid w:val="008C69C2"/>
    <w:rsid w:val="008C7F59"/>
    <w:rsid w:val="008D06FA"/>
    <w:rsid w:val="008D11CF"/>
    <w:rsid w:val="008D142B"/>
    <w:rsid w:val="008D1440"/>
    <w:rsid w:val="008D2120"/>
    <w:rsid w:val="008D224C"/>
    <w:rsid w:val="008D3C76"/>
    <w:rsid w:val="008D3C88"/>
    <w:rsid w:val="008D4AED"/>
    <w:rsid w:val="008D4BA2"/>
    <w:rsid w:val="008D5178"/>
    <w:rsid w:val="008D5566"/>
    <w:rsid w:val="008D5616"/>
    <w:rsid w:val="008D5654"/>
    <w:rsid w:val="008D5AD9"/>
    <w:rsid w:val="008D5BF3"/>
    <w:rsid w:val="008D5EE6"/>
    <w:rsid w:val="008D6559"/>
    <w:rsid w:val="008D6774"/>
    <w:rsid w:val="008D69A9"/>
    <w:rsid w:val="008D73AD"/>
    <w:rsid w:val="008D7A12"/>
    <w:rsid w:val="008E0081"/>
    <w:rsid w:val="008E0754"/>
    <w:rsid w:val="008E137A"/>
    <w:rsid w:val="008E1855"/>
    <w:rsid w:val="008E186B"/>
    <w:rsid w:val="008E2DE5"/>
    <w:rsid w:val="008E4AC7"/>
    <w:rsid w:val="008E4BED"/>
    <w:rsid w:val="008E694F"/>
    <w:rsid w:val="008E7A7B"/>
    <w:rsid w:val="008E7C7E"/>
    <w:rsid w:val="008E7CC0"/>
    <w:rsid w:val="008F18CA"/>
    <w:rsid w:val="008F27C8"/>
    <w:rsid w:val="008F3524"/>
    <w:rsid w:val="008F36DF"/>
    <w:rsid w:val="008F56FD"/>
    <w:rsid w:val="008F7227"/>
    <w:rsid w:val="008F774E"/>
    <w:rsid w:val="008F7D2B"/>
    <w:rsid w:val="009008D5"/>
    <w:rsid w:val="00901643"/>
    <w:rsid w:val="00901FB3"/>
    <w:rsid w:val="009029C2"/>
    <w:rsid w:val="00903349"/>
    <w:rsid w:val="0090380E"/>
    <w:rsid w:val="00904020"/>
    <w:rsid w:val="009041B2"/>
    <w:rsid w:val="00904D4A"/>
    <w:rsid w:val="00905B46"/>
    <w:rsid w:val="00906150"/>
    <w:rsid w:val="0090615A"/>
    <w:rsid w:val="00907232"/>
    <w:rsid w:val="009101AE"/>
    <w:rsid w:val="00910515"/>
    <w:rsid w:val="009107AE"/>
    <w:rsid w:val="0091182C"/>
    <w:rsid w:val="00911D34"/>
    <w:rsid w:val="00912EAA"/>
    <w:rsid w:val="00913330"/>
    <w:rsid w:val="0091345E"/>
    <w:rsid w:val="00914698"/>
    <w:rsid w:val="009154E8"/>
    <w:rsid w:val="0091576B"/>
    <w:rsid w:val="009162F4"/>
    <w:rsid w:val="0091643B"/>
    <w:rsid w:val="00916A78"/>
    <w:rsid w:val="00916B5E"/>
    <w:rsid w:val="00916B62"/>
    <w:rsid w:val="00916ECB"/>
    <w:rsid w:val="00917465"/>
    <w:rsid w:val="00917618"/>
    <w:rsid w:val="00917FA4"/>
    <w:rsid w:val="00920054"/>
    <w:rsid w:val="009200A5"/>
    <w:rsid w:val="009203E2"/>
    <w:rsid w:val="00920B6E"/>
    <w:rsid w:val="009210B2"/>
    <w:rsid w:val="00921518"/>
    <w:rsid w:val="009227AA"/>
    <w:rsid w:val="00922A09"/>
    <w:rsid w:val="00923176"/>
    <w:rsid w:val="0092355C"/>
    <w:rsid w:val="00923628"/>
    <w:rsid w:val="00923963"/>
    <w:rsid w:val="00924DA0"/>
    <w:rsid w:val="0092608E"/>
    <w:rsid w:val="009262F4"/>
    <w:rsid w:val="00927CC4"/>
    <w:rsid w:val="009307E3"/>
    <w:rsid w:val="00930CE4"/>
    <w:rsid w:val="009316C7"/>
    <w:rsid w:val="00931C59"/>
    <w:rsid w:val="009324F8"/>
    <w:rsid w:val="00932DDC"/>
    <w:rsid w:val="0093323F"/>
    <w:rsid w:val="00934FB1"/>
    <w:rsid w:val="009371F9"/>
    <w:rsid w:val="009373AB"/>
    <w:rsid w:val="009404B9"/>
    <w:rsid w:val="00940DF9"/>
    <w:rsid w:val="0094120C"/>
    <w:rsid w:val="00941657"/>
    <w:rsid w:val="00942304"/>
    <w:rsid w:val="00942360"/>
    <w:rsid w:val="00942A1E"/>
    <w:rsid w:val="00942AA5"/>
    <w:rsid w:val="00942CF1"/>
    <w:rsid w:val="00942E59"/>
    <w:rsid w:val="00942E71"/>
    <w:rsid w:val="0094422F"/>
    <w:rsid w:val="00944615"/>
    <w:rsid w:val="009449DD"/>
    <w:rsid w:val="009452F5"/>
    <w:rsid w:val="0094538D"/>
    <w:rsid w:val="00945B20"/>
    <w:rsid w:val="009471D5"/>
    <w:rsid w:val="00947369"/>
    <w:rsid w:val="0094747E"/>
    <w:rsid w:val="00950C42"/>
    <w:rsid w:val="00950CE7"/>
    <w:rsid w:val="009513B9"/>
    <w:rsid w:val="00951609"/>
    <w:rsid w:val="00952076"/>
    <w:rsid w:val="009530A9"/>
    <w:rsid w:val="00953EF5"/>
    <w:rsid w:val="0095461F"/>
    <w:rsid w:val="009549BF"/>
    <w:rsid w:val="009550DD"/>
    <w:rsid w:val="009553E1"/>
    <w:rsid w:val="009562DE"/>
    <w:rsid w:val="00956627"/>
    <w:rsid w:val="009568AF"/>
    <w:rsid w:val="00957462"/>
    <w:rsid w:val="009575B0"/>
    <w:rsid w:val="00957A87"/>
    <w:rsid w:val="00957B0E"/>
    <w:rsid w:val="009616C5"/>
    <w:rsid w:val="009618A9"/>
    <w:rsid w:val="009618D3"/>
    <w:rsid w:val="00961B6B"/>
    <w:rsid w:val="00961C66"/>
    <w:rsid w:val="00962313"/>
    <w:rsid w:val="00962AD9"/>
    <w:rsid w:val="0096329F"/>
    <w:rsid w:val="009636C2"/>
    <w:rsid w:val="0096439F"/>
    <w:rsid w:val="00964920"/>
    <w:rsid w:val="009653CC"/>
    <w:rsid w:val="00965605"/>
    <w:rsid w:val="00965CC2"/>
    <w:rsid w:val="00966604"/>
    <w:rsid w:val="009669D2"/>
    <w:rsid w:val="009706D0"/>
    <w:rsid w:val="00971016"/>
    <w:rsid w:val="009710A6"/>
    <w:rsid w:val="00971369"/>
    <w:rsid w:val="009713D9"/>
    <w:rsid w:val="00971731"/>
    <w:rsid w:val="009718A1"/>
    <w:rsid w:val="00972446"/>
    <w:rsid w:val="00972E65"/>
    <w:rsid w:val="00972FD6"/>
    <w:rsid w:val="009735A5"/>
    <w:rsid w:val="00973B10"/>
    <w:rsid w:val="00975415"/>
    <w:rsid w:val="00975C76"/>
    <w:rsid w:val="00976784"/>
    <w:rsid w:val="009768CC"/>
    <w:rsid w:val="00977B95"/>
    <w:rsid w:val="00977BEA"/>
    <w:rsid w:val="0098005C"/>
    <w:rsid w:val="0098064B"/>
    <w:rsid w:val="009812E3"/>
    <w:rsid w:val="0098194E"/>
    <w:rsid w:val="00982B93"/>
    <w:rsid w:val="00983A95"/>
    <w:rsid w:val="0098403D"/>
    <w:rsid w:val="009840BF"/>
    <w:rsid w:val="00984327"/>
    <w:rsid w:val="009845EC"/>
    <w:rsid w:val="00984B74"/>
    <w:rsid w:val="009859FB"/>
    <w:rsid w:val="0098652A"/>
    <w:rsid w:val="00986A25"/>
    <w:rsid w:val="0098752A"/>
    <w:rsid w:val="00987AC4"/>
    <w:rsid w:val="00990075"/>
    <w:rsid w:val="00990093"/>
    <w:rsid w:val="00990870"/>
    <w:rsid w:val="00991148"/>
    <w:rsid w:val="00991BED"/>
    <w:rsid w:val="00992AF8"/>
    <w:rsid w:val="00993D17"/>
    <w:rsid w:val="00994633"/>
    <w:rsid w:val="0099484F"/>
    <w:rsid w:val="00996889"/>
    <w:rsid w:val="00996B7C"/>
    <w:rsid w:val="009977BE"/>
    <w:rsid w:val="00997B80"/>
    <w:rsid w:val="00997BF5"/>
    <w:rsid w:val="00997C06"/>
    <w:rsid w:val="00997D66"/>
    <w:rsid w:val="00997F86"/>
    <w:rsid w:val="009A0EB4"/>
    <w:rsid w:val="009A1C18"/>
    <w:rsid w:val="009A3F03"/>
    <w:rsid w:val="009A4E98"/>
    <w:rsid w:val="009A5D0F"/>
    <w:rsid w:val="009A5E07"/>
    <w:rsid w:val="009A63CF"/>
    <w:rsid w:val="009A6974"/>
    <w:rsid w:val="009A6BA9"/>
    <w:rsid w:val="009A6BD8"/>
    <w:rsid w:val="009A6DF1"/>
    <w:rsid w:val="009A7463"/>
    <w:rsid w:val="009A7531"/>
    <w:rsid w:val="009A780D"/>
    <w:rsid w:val="009A7921"/>
    <w:rsid w:val="009B061C"/>
    <w:rsid w:val="009B1987"/>
    <w:rsid w:val="009B1C8D"/>
    <w:rsid w:val="009B253D"/>
    <w:rsid w:val="009B27BF"/>
    <w:rsid w:val="009B2B9B"/>
    <w:rsid w:val="009B3A01"/>
    <w:rsid w:val="009B4E14"/>
    <w:rsid w:val="009B534E"/>
    <w:rsid w:val="009B5781"/>
    <w:rsid w:val="009B609D"/>
    <w:rsid w:val="009B673B"/>
    <w:rsid w:val="009B6F28"/>
    <w:rsid w:val="009B7303"/>
    <w:rsid w:val="009B7F71"/>
    <w:rsid w:val="009C205F"/>
    <w:rsid w:val="009C250B"/>
    <w:rsid w:val="009C37D2"/>
    <w:rsid w:val="009C3AF6"/>
    <w:rsid w:val="009C4021"/>
    <w:rsid w:val="009C5213"/>
    <w:rsid w:val="009C57C9"/>
    <w:rsid w:val="009C5816"/>
    <w:rsid w:val="009C5E39"/>
    <w:rsid w:val="009C6124"/>
    <w:rsid w:val="009C66B1"/>
    <w:rsid w:val="009C7688"/>
    <w:rsid w:val="009C78A9"/>
    <w:rsid w:val="009D0809"/>
    <w:rsid w:val="009D0BCB"/>
    <w:rsid w:val="009D1629"/>
    <w:rsid w:val="009D1656"/>
    <w:rsid w:val="009D179B"/>
    <w:rsid w:val="009D25C5"/>
    <w:rsid w:val="009D2E78"/>
    <w:rsid w:val="009D412E"/>
    <w:rsid w:val="009D4BB5"/>
    <w:rsid w:val="009D54E0"/>
    <w:rsid w:val="009D5528"/>
    <w:rsid w:val="009D578A"/>
    <w:rsid w:val="009D5928"/>
    <w:rsid w:val="009D5B67"/>
    <w:rsid w:val="009D5C0D"/>
    <w:rsid w:val="009D6111"/>
    <w:rsid w:val="009E00FE"/>
    <w:rsid w:val="009E0346"/>
    <w:rsid w:val="009E1C48"/>
    <w:rsid w:val="009E2144"/>
    <w:rsid w:val="009E31AC"/>
    <w:rsid w:val="009E39E7"/>
    <w:rsid w:val="009E3FF4"/>
    <w:rsid w:val="009E4744"/>
    <w:rsid w:val="009E5569"/>
    <w:rsid w:val="009E55D3"/>
    <w:rsid w:val="009E60BE"/>
    <w:rsid w:val="009E68DA"/>
    <w:rsid w:val="009E738A"/>
    <w:rsid w:val="009E74E1"/>
    <w:rsid w:val="009E7E1B"/>
    <w:rsid w:val="009F0BAD"/>
    <w:rsid w:val="009F135B"/>
    <w:rsid w:val="009F1D9E"/>
    <w:rsid w:val="009F22DF"/>
    <w:rsid w:val="009F2527"/>
    <w:rsid w:val="009F2C91"/>
    <w:rsid w:val="009F372F"/>
    <w:rsid w:val="009F3A40"/>
    <w:rsid w:val="009F46F6"/>
    <w:rsid w:val="009F47C2"/>
    <w:rsid w:val="009F5BC4"/>
    <w:rsid w:val="009F7372"/>
    <w:rsid w:val="009F75FC"/>
    <w:rsid w:val="009F7CDC"/>
    <w:rsid w:val="00A00165"/>
    <w:rsid w:val="00A0048E"/>
    <w:rsid w:val="00A014C9"/>
    <w:rsid w:val="00A026B7"/>
    <w:rsid w:val="00A04905"/>
    <w:rsid w:val="00A04C84"/>
    <w:rsid w:val="00A0509E"/>
    <w:rsid w:val="00A05D98"/>
    <w:rsid w:val="00A06766"/>
    <w:rsid w:val="00A06AEA"/>
    <w:rsid w:val="00A06C8A"/>
    <w:rsid w:val="00A0711A"/>
    <w:rsid w:val="00A10940"/>
    <w:rsid w:val="00A10C56"/>
    <w:rsid w:val="00A10F68"/>
    <w:rsid w:val="00A115A3"/>
    <w:rsid w:val="00A116D5"/>
    <w:rsid w:val="00A14064"/>
    <w:rsid w:val="00A14832"/>
    <w:rsid w:val="00A14C05"/>
    <w:rsid w:val="00A14ED8"/>
    <w:rsid w:val="00A1557D"/>
    <w:rsid w:val="00A1639A"/>
    <w:rsid w:val="00A1650D"/>
    <w:rsid w:val="00A16B44"/>
    <w:rsid w:val="00A1719D"/>
    <w:rsid w:val="00A176BE"/>
    <w:rsid w:val="00A17972"/>
    <w:rsid w:val="00A20787"/>
    <w:rsid w:val="00A20DD9"/>
    <w:rsid w:val="00A21632"/>
    <w:rsid w:val="00A21647"/>
    <w:rsid w:val="00A2326A"/>
    <w:rsid w:val="00A237D2"/>
    <w:rsid w:val="00A239B0"/>
    <w:rsid w:val="00A24221"/>
    <w:rsid w:val="00A249C3"/>
    <w:rsid w:val="00A26270"/>
    <w:rsid w:val="00A263A1"/>
    <w:rsid w:val="00A271DA"/>
    <w:rsid w:val="00A274A7"/>
    <w:rsid w:val="00A2796B"/>
    <w:rsid w:val="00A3065F"/>
    <w:rsid w:val="00A30B24"/>
    <w:rsid w:val="00A30D85"/>
    <w:rsid w:val="00A31D8C"/>
    <w:rsid w:val="00A3334C"/>
    <w:rsid w:val="00A33537"/>
    <w:rsid w:val="00A33A38"/>
    <w:rsid w:val="00A34DE0"/>
    <w:rsid w:val="00A361F2"/>
    <w:rsid w:val="00A36DE8"/>
    <w:rsid w:val="00A37637"/>
    <w:rsid w:val="00A40240"/>
    <w:rsid w:val="00A4158C"/>
    <w:rsid w:val="00A41C80"/>
    <w:rsid w:val="00A41CDF"/>
    <w:rsid w:val="00A41DF0"/>
    <w:rsid w:val="00A42114"/>
    <w:rsid w:val="00A422B6"/>
    <w:rsid w:val="00A42363"/>
    <w:rsid w:val="00A42388"/>
    <w:rsid w:val="00A429C0"/>
    <w:rsid w:val="00A42FD7"/>
    <w:rsid w:val="00A43651"/>
    <w:rsid w:val="00A443CE"/>
    <w:rsid w:val="00A444E1"/>
    <w:rsid w:val="00A44EE4"/>
    <w:rsid w:val="00A458FF"/>
    <w:rsid w:val="00A460B6"/>
    <w:rsid w:val="00A46F29"/>
    <w:rsid w:val="00A473E0"/>
    <w:rsid w:val="00A47539"/>
    <w:rsid w:val="00A50564"/>
    <w:rsid w:val="00A510DB"/>
    <w:rsid w:val="00A51BD4"/>
    <w:rsid w:val="00A51F9B"/>
    <w:rsid w:val="00A5339D"/>
    <w:rsid w:val="00A54800"/>
    <w:rsid w:val="00A5484F"/>
    <w:rsid w:val="00A548F2"/>
    <w:rsid w:val="00A549B2"/>
    <w:rsid w:val="00A54EA5"/>
    <w:rsid w:val="00A54EC4"/>
    <w:rsid w:val="00A54EF7"/>
    <w:rsid w:val="00A561FD"/>
    <w:rsid w:val="00A56AD5"/>
    <w:rsid w:val="00A56B93"/>
    <w:rsid w:val="00A572BF"/>
    <w:rsid w:val="00A6076E"/>
    <w:rsid w:val="00A60D50"/>
    <w:rsid w:val="00A60FDC"/>
    <w:rsid w:val="00A61508"/>
    <w:rsid w:val="00A62B58"/>
    <w:rsid w:val="00A6340F"/>
    <w:rsid w:val="00A637F3"/>
    <w:rsid w:val="00A645D7"/>
    <w:rsid w:val="00A649AE"/>
    <w:rsid w:val="00A6505A"/>
    <w:rsid w:val="00A65509"/>
    <w:rsid w:val="00A656BB"/>
    <w:rsid w:val="00A660FB"/>
    <w:rsid w:val="00A6680C"/>
    <w:rsid w:val="00A6683D"/>
    <w:rsid w:val="00A67D55"/>
    <w:rsid w:val="00A67EC6"/>
    <w:rsid w:val="00A71550"/>
    <w:rsid w:val="00A71ED6"/>
    <w:rsid w:val="00A725AC"/>
    <w:rsid w:val="00A727D4"/>
    <w:rsid w:val="00A729EB"/>
    <w:rsid w:val="00A72EF0"/>
    <w:rsid w:val="00A73ECB"/>
    <w:rsid w:val="00A74A73"/>
    <w:rsid w:val="00A74B65"/>
    <w:rsid w:val="00A76088"/>
    <w:rsid w:val="00A7638E"/>
    <w:rsid w:val="00A76E9F"/>
    <w:rsid w:val="00A775F8"/>
    <w:rsid w:val="00A8150F"/>
    <w:rsid w:val="00A821DD"/>
    <w:rsid w:val="00A82DAB"/>
    <w:rsid w:val="00A83F4B"/>
    <w:rsid w:val="00A84100"/>
    <w:rsid w:val="00A84255"/>
    <w:rsid w:val="00A84585"/>
    <w:rsid w:val="00A849CA"/>
    <w:rsid w:val="00A84E84"/>
    <w:rsid w:val="00A85E92"/>
    <w:rsid w:val="00A86297"/>
    <w:rsid w:val="00A87578"/>
    <w:rsid w:val="00A87E38"/>
    <w:rsid w:val="00A9074A"/>
    <w:rsid w:val="00A90FCA"/>
    <w:rsid w:val="00A91705"/>
    <w:rsid w:val="00A91A6A"/>
    <w:rsid w:val="00A91B35"/>
    <w:rsid w:val="00A91D7F"/>
    <w:rsid w:val="00A91FA3"/>
    <w:rsid w:val="00A925A0"/>
    <w:rsid w:val="00A927E4"/>
    <w:rsid w:val="00A936DB"/>
    <w:rsid w:val="00A93FBF"/>
    <w:rsid w:val="00A949FB"/>
    <w:rsid w:val="00A94E40"/>
    <w:rsid w:val="00A95115"/>
    <w:rsid w:val="00A95798"/>
    <w:rsid w:val="00A97A31"/>
    <w:rsid w:val="00A97BB6"/>
    <w:rsid w:val="00AA1081"/>
    <w:rsid w:val="00AA16F6"/>
    <w:rsid w:val="00AA1B3E"/>
    <w:rsid w:val="00AA290D"/>
    <w:rsid w:val="00AA36A2"/>
    <w:rsid w:val="00AA3844"/>
    <w:rsid w:val="00AA4F33"/>
    <w:rsid w:val="00AA52A0"/>
    <w:rsid w:val="00AA5A4C"/>
    <w:rsid w:val="00AA5BC9"/>
    <w:rsid w:val="00AA64EF"/>
    <w:rsid w:val="00AA6647"/>
    <w:rsid w:val="00AA7B83"/>
    <w:rsid w:val="00AB015B"/>
    <w:rsid w:val="00AB0244"/>
    <w:rsid w:val="00AB0318"/>
    <w:rsid w:val="00AB093D"/>
    <w:rsid w:val="00AB1C84"/>
    <w:rsid w:val="00AB2292"/>
    <w:rsid w:val="00AB23D8"/>
    <w:rsid w:val="00AB364C"/>
    <w:rsid w:val="00AB375C"/>
    <w:rsid w:val="00AB4441"/>
    <w:rsid w:val="00AB498B"/>
    <w:rsid w:val="00AB4EF6"/>
    <w:rsid w:val="00AB500B"/>
    <w:rsid w:val="00AB511C"/>
    <w:rsid w:val="00AB5A61"/>
    <w:rsid w:val="00AB5AC3"/>
    <w:rsid w:val="00AB61A3"/>
    <w:rsid w:val="00AB6717"/>
    <w:rsid w:val="00AB781A"/>
    <w:rsid w:val="00AC0993"/>
    <w:rsid w:val="00AC09D7"/>
    <w:rsid w:val="00AC0DC0"/>
    <w:rsid w:val="00AC1425"/>
    <w:rsid w:val="00AC201E"/>
    <w:rsid w:val="00AC31F7"/>
    <w:rsid w:val="00AC32DD"/>
    <w:rsid w:val="00AC37D4"/>
    <w:rsid w:val="00AC463E"/>
    <w:rsid w:val="00AC5999"/>
    <w:rsid w:val="00AC5BD9"/>
    <w:rsid w:val="00AC5EDA"/>
    <w:rsid w:val="00AC601F"/>
    <w:rsid w:val="00AC6DB1"/>
    <w:rsid w:val="00AC6F32"/>
    <w:rsid w:val="00AD1CA0"/>
    <w:rsid w:val="00AD1DEF"/>
    <w:rsid w:val="00AD2513"/>
    <w:rsid w:val="00AD29B1"/>
    <w:rsid w:val="00AD38D7"/>
    <w:rsid w:val="00AD4034"/>
    <w:rsid w:val="00AD53E1"/>
    <w:rsid w:val="00AD582E"/>
    <w:rsid w:val="00AD69EC"/>
    <w:rsid w:val="00AD7128"/>
    <w:rsid w:val="00AE0281"/>
    <w:rsid w:val="00AE0299"/>
    <w:rsid w:val="00AE0B93"/>
    <w:rsid w:val="00AE0C1A"/>
    <w:rsid w:val="00AE0CDB"/>
    <w:rsid w:val="00AE145F"/>
    <w:rsid w:val="00AE152C"/>
    <w:rsid w:val="00AE193C"/>
    <w:rsid w:val="00AE2D00"/>
    <w:rsid w:val="00AE432F"/>
    <w:rsid w:val="00AE50C4"/>
    <w:rsid w:val="00AE5750"/>
    <w:rsid w:val="00AE5752"/>
    <w:rsid w:val="00AE5894"/>
    <w:rsid w:val="00AE5B56"/>
    <w:rsid w:val="00AE68F2"/>
    <w:rsid w:val="00AE690F"/>
    <w:rsid w:val="00AE7500"/>
    <w:rsid w:val="00AE767B"/>
    <w:rsid w:val="00AE7E3A"/>
    <w:rsid w:val="00AF03A0"/>
    <w:rsid w:val="00AF09B9"/>
    <w:rsid w:val="00AF2873"/>
    <w:rsid w:val="00AF2CE9"/>
    <w:rsid w:val="00AF4149"/>
    <w:rsid w:val="00AF430A"/>
    <w:rsid w:val="00AF4E3C"/>
    <w:rsid w:val="00AF5744"/>
    <w:rsid w:val="00AF58F4"/>
    <w:rsid w:val="00AF5ADE"/>
    <w:rsid w:val="00AF7F84"/>
    <w:rsid w:val="00B00C30"/>
    <w:rsid w:val="00B00DDD"/>
    <w:rsid w:val="00B01162"/>
    <w:rsid w:val="00B02414"/>
    <w:rsid w:val="00B02898"/>
    <w:rsid w:val="00B03100"/>
    <w:rsid w:val="00B03280"/>
    <w:rsid w:val="00B034E3"/>
    <w:rsid w:val="00B03B5A"/>
    <w:rsid w:val="00B03D4B"/>
    <w:rsid w:val="00B04608"/>
    <w:rsid w:val="00B04B1B"/>
    <w:rsid w:val="00B04D42"/>
    <w:rsid w:val="00B04D66"/>
    <w:rsid w:val="00B05A65"/>
    <w:rsid w:val="00B05B75"/>
    <w:rsid w:val="00B05E0B"/>
    <w:rsid w:val="00B062A9"/>
    <w:rsid w:val="00B06442"/>
    <w:rsid w:val="00B0679E"/>
    <w:rsid w:val="00B076A4"/>
    <w:rsid w:val="00B1059C"/>
    <w:rsid w:val="00B119CB"/>
    <w:rsid w:val="00B120D0"/>
    <w:rsid w:val="00B131AB"/>
    <w:rsid w:val="00B144BF"/>
    <w:rsid w:val="00B14B81"/>
    <w:rsid w:val="00B15B63"/>
    <w:rsid w:val="00B1658A"/>
    <w:rsid w:val="00B16DBB"/>
    <w:rsid w:val="00B17067"/>
    <w:rsid w:val="00B206E5"/>
    <w:rsid w:val="00B209FF"/>
    <w:rsid w:val="00B20C60"/>
    <w:rsid w:val="00B21A99"/>
    <w:rsid w:val="00B231E6"/>
    <w:rsid w:val="00B23558"/>
    <w:rsid w:val="00B23819"/>
    <w:rsid w:val="00B23B0F"/>
    <w:rsid w:val="00B24223"/>
    <w:rsid w:val="00B24469"/>
    <w:rsid w:val="00B24887"/>
    <w:rsid w:val="00B249A4"/>
    <w:rsid w:val="00B24A4A"/>
    <w:rsid w:val="00B24D3B"/>
    <w:rsid w:val="00B24D52"/>
    <w:rsid w:val="00B24E0B"/>
    <w:rsid w:val="00B25537"/>
    <w:rsid w:val="00B2569C"/>
    <w:rsid w:val="00B26708"/>
    <w:rsid w:val="00B27FB5"/>
    <w:rsid w:val="00B31729"/>
    <w:rsid w:val="00B31EE0"/>
    <w:rsid w:val="00B31F8C"/>
    <w:rsid w:val="00B329BE"/>
    <w:rsid w:val="00B331AB"/>
    <w:rsid w:val="00B33EF4"/>
    <w:rsid w:val="00B33F6F"/>
    <w:rsid w:val="00B35158"/>
    <w:rsid w:val="00B35676"/>
    <w:rsid w:val="00B367B0"/>
    <w:rsid w:val="00B3705F"/>
    <w:rsid w:val="00B37882"/>
    <w:rsid w:val="00B37C2B"/>
    <w:rsid w:val="00B400C5"/>
    <w:rsid w:val="00B40589"/>
    <w:rsid w:val="00B405DF"/>
    <w:rsid w:val="00B40727"/>
    <w:rsid w:val="00B41E7B"/>
    <w:rsid w:val="00B42D9C"/>
    <w:rsid w:val="00B43382"/>
    <w:rsid w:val="00B4340C"/>
    <w:rsid w:val="00B43AD5"/>
    <w:rsid w:val="00B43C9A"/>
    <w:rsid w:val="00B43D5D"/>
    <w:rsid w:val="00B443C7"/>
    <w:rsid w:val="00B4446E"/>
    <w:rsid w:val="00B4494D"/>
    <w:rsid w:val="00B458F1"/>
    <w:rsid w:val="00B46082"/>
    <w:rsid w:val="00B463A0"/>
    <w:rsid w:val="00B4648C"/>
    <w:rsid w:val="00B46A46"/>
    <w:rsid w:val="00B46EFC"/>
    <w:rsid w:val="00B470F4"/>
    <w:rsid w:val="00B4738B"/>
    <w:rsid w:val="00B47587"/>
    <w:rsid w:val="00B47A5E"/>
    <w:rsid w:val="00B515ED"/>
    <w:rsid w:val="00B5163A"/>
    <w:rsid w:val="00B51641"/>
    <w:rsid w:val="00B5185E"/>
    <w:rsid w:val="00B52ADC"/>
    <w:rsid w:val="00B531AE"/>
    <w:rsid w:val="00B538E8"/>
    <w:rsid w:val="00B538FB"/>
    <w:rsid w:val="00B54545"/>
    <w:rsid w:val="00B55896"/>
    <w:rsid w:val="00B566AA"/>
    <w:rsid w:val="00B56AAA"/>
    <w:rsid w:val="00B57033"/>
    <w:rsid w:val="00B57287"/>
    <w:rsid w:val="00B57415"/>
    <w:rsid w:val="00B57B03"/>
    <w:rsid w:val="00B6018C"/>
    <w:rsid w:val="00B603B1"/>
    <w:rsid w:val="00B6057D"/>
    <w:rsid w:val="00B60752"/>
    <w:rsid w:val="00B6118D"/>
    <w:rsid w:val="00B61200"/>
    <w:rsid w:val="00B61262"/>
    <w:rsid w:val="00B61410"/>
    <w:rsid w:val="00B615DE"/>
    <w:rsid w:val="00B61B00"/>
    <w:rsid w:val="00B61B75"/>
    <w:rsid w:val="00B62AE3"/>
    <w:rsid w:val="00B62B8A"/>
    <w:rsid w:val="00B63CC3"/>
    <w:rsid w:val="00B63FD4"/>
    <w:rsid w:val="00B64D63"/>
    <w:rsid w:val="00B64FAF"/>
    <w:rsid w:val="00B66104"/>
    <w:rsid w:val="00B668A9"/>
    <w:rsid w:val="00B670E9"/>
    <w:rsid w:val="00B6725B"/>
    <w:rsid w:val="00B6764F"/>
    <w:rsid w:val="00B677B1"/>
    <w:rsid w:val="00B67AD8"/>
    <w:rsid w:val="00B67CB6"/>
    <w:rsid w:val="00B7155D"/>
    <w:rsid w:val="00B715F1"/>
    <w:rsid w:val="00B72F2F"/>
    <w:rsid w:val="00B734CF"/>
    <w:rsid w:val="00B75325"/>
    <w:rsid w:val="00B76444"/>
    <w:rsid w:val="00B76B61"/>
    <w:rsid w:val="00B771DC"/>
    <w:rsid w:val="00B77695"/>
    <w:rsid w:val="00B77D20"/>
    <w:rsid w:val="00B80012"/>
    <w:rsid w:val="00B82208"/>
    <w:rsid w:val="00B827BB"/>
    <w:rsid w:val="00B82889"/>
    <w:rsid w:val="00B82AFF"/>
    <w:rsid w:val="00B84391"/>
    <w:rsid w:val="00B84594"/>
    <w:rsid w:val="00B84B2B"/>
    <w:rsid w:val="00B868DA"/>
    <w:rsid w:val="00B869AB"/>
    <w:rsid w:val="00B87A51"/>
    <w:rsid w:val="00B87B75"/>
    <w:rsid w:val="00B87FA1"/>
    <w:rsid w:val="00B901A8"/>
    <w:rsid w:val="00B90AD1"/>
    <w:rsid w:val="00B917CE"/>
    <w:rsid w:val="00B92AA9"/>
    <w:rsid w:val="00B9337B"/>
    <w:rsid w:val="00B9370B"/>
    <w:rsid w:val="00B93F55"/>
    <w:rsid w:val="00B9425C"/>
    <w:rsid w:val="00B9429D"/>
    <w:rsid w:val="00B943E2"/>
    <w:rsid w:val="00B946D2"/>
    <w:rsid w:val="00B94931"/>
    <w:rsid w:val="00B94A85"/>
    <w:rsid w:val="00B96333"/>
    <w:rsid w:val="00B97A2C"/>
    <w:rsid w:val="00BA02B2"/>
    <w:rsid w:val="00BA076E"/>
    <w:rsid w:val="00BA0E90"/>
    <w:rsid w:val="00BA0F17"/>
    <w:rsid w:val="00BA0FA1"/>
    <w:rsid w:val="00BA14CF"/>
    <w:rsid w:val="00BA1B2B"/>
    <w:rsid w:val="00BA200B"/>
    <w:rsid w:val="00BA217E"/>
    <w:rsid w:val="00BA2BC2"/>
    <w:rsid w:val="00BA3495"/>
    <w:rsid w:val="00BA475C"/>
    <w:rsid w:val="00BA499C"/>
    <w:rsid w:val="00BA50B6"/>
    <w:rsid w:val="00BA5E7B"/>
    <w:rsid w:val="00BA77AA"/>
    <w:rsid w:val="00BA7F36"/>
    <w:rsid w:val="00BB0A0F"/>
    <w:rsid w:val="00BB263B"/>
    <w:rsid w:val="00BB2EFB"/>
    <w:rsid w:val="00BB31BD"/>
    <w:rsid w:val="00BB33DC"/>
    <w:rsid w:val="00BB4C3E"/>
    <w:rsid w:val="00BB73FD"/>
    <w:rsid w:val="00BB7AF8"/>
    <w:rsid w:val="00BB7BB9"/>
    <w:rsid w:val="00BB7ED8"/>
    <w:rsid w:val="00BC00B8"/>
    <w:rsid w:val="00BC0B8F"/>
    <w:rsid w:val="00BC0D4C"/>
    <w:rsid w:val="00BC39A2"/>
    <w:rsid w:val="00BC3B9B"/>
    <w:rsid w:val="00BC3C8A"/>
    <w:rsid w:val="00BC4082"/>
    <w:rsid w:val="00BC4805"/>
    <w:rsid w:val="00BC5D13"/>
    <w:rsid w:val="00BC5E87"/>
    <w:rsid w:val="00BC6772"/>
    <w:rsid w:val="00BC678E"/>
    <w:rsid w:val="00BC6B4A"/>
    <w:rsid w:val="00BD00BB"/>
    <w:rsid w:val="00BD00CE"/>
    <w:rsid w:val="00BD0332"/>
    <w:rsid w:val="00BD135E"/>
    <w:rsid w:val="00BD193F"/>
    <w:rsid w:val="00BD200D"/>
    <w:rsid w:val="00BD2192"/>
    <w:rsid w:val="00BD2233"/>
    <w:rsid w:val="00BD2538"/>
    <w:rsid w:val="00BD2561"/>
    <w:rsid w:val="00BD2700"/>
    <w:rsid w:val="00BD41FE"/>
    <w:rsid w:val="00BD4844"/>
    <w:rsid w:val="00BD4D5A"/>
    <w:rsid w:val="00BD5591"/>
    <w:rsid w:val="00BD5C00"/>
    <w:rsid w:val="00BD5FD2"/>
    <w:rsid w:val="00BD7BCF"/>
    <w:rsid w:val="00BE00F6"/>
    <w:rsid w:val="00BE0747"/>
    <w:rsid w:val="00BE1EB4"/>
    <w:rsid w:val="00BE210B"/>
    <w:rsid w:val="00BE222F"/>
    <w:rsid w:val="00BE273B"/>
    <w:rsid w:val="00BE2BAF"/>
    <w:rsid w:val="00BE31BF"/>
    <w:rsid w:val="00BE36F4"/>
    <w:rsid w:val="00BE3FA0"/>
    <w:rsid w:val="00BE424D"/>
    <w:rsid w:val="00BE4654"/>
    <w:rsid w:val="00BE4F91"/>
    <w:rsid w:val="00BE532B"/>
    <w:rsid w:val="00BE64A4"/>
    <w:rsid w:val="00BF1736"/>
    <w:rsid w:val="00BF274C"/>
    <w:rsid w:val="00BF2AA0"/>
    <w:rsid w:val="00BF2EF2"/>
    <w:rsid w:val="00BF30FD"/>
    <w:rsid w:val="00BF3F68"/>
    <w:rsid w:val="00BF452E"/>
    <w:rsid w:val="00BF46FF"/>
    <w:rsid w:val="00BF4885"/>
    <w:rsid w:val="00BF592E"/>
    <w:rsid w:val="00BF5C0A"/>
    <w:rsid w:val="00BF5DCD"/>
    <w:rsid w:val="00BF6832"/>
    <w:rsid w:val="00BF730B"/>
    <w:rsid w:val="00BF7582"/>
    <w:rsid w:val="00BF7919"/>
    <w:rsid w:val="00BF7B15"/>
    <w:rsid w:val="00C00603"/>
    <w:rsid w:val="00C013CE"/>
    <w:rsid w:val="00C02673"/>
    <w:rsid w:val="00C02DF5"/>
    <w:rsid w:val="00C030D7"/>
    <w:rsid w:val="00C032AD"/>
    <w:rsid w:val="00C032FF"/>
    <w:rsid w:val="00C034F0"/>
    <w:rsid w:val="00C03518"/>
    <w:rsid w:val="00C0426E"/>
    <w:rsid w:val="00C04E82"/>
    <w:rsid w:val="00C04F48"/>
    <w:rsid w:val="00C05250"/>
    <w:rsid w:val="00C0660F"/>
    <w:rsid w:val="00C06B02"/>
    <w:rsid w:val="00C06D89"/>
    <w:rsid w:val="00C079FA"/>
    <w:rsid w:val="00C07C31"/>
    <w:rsid w:val="00C1019D"/>
    <w:rsid w:val="00C10DA5"/>
    <w:rsid w:val="00C110BB"/>
    <w:rsid w:val="00C120A1"/>
    <w:rsid w:val="00C1296A"/>
    <w:rsid w:val="00C12DA7"/>
    <w:rsid w:val="00C1361D"/>
    <w:rsid w:val="00C13D55"/>
    <w:rsid w:val="00C14078"/>
    <w:rsid w:val="00C140B7"/>
    <w:rsid w:val="00C158E5"/>
    <w:rsid w:val="00C15D50"/>
    <w:rsid w:val="00C15F0A"/>
    <w:rsid w:val="00C16202"/>
    <w:rsid w:val="00C1775B"/>
    <w:rsid w:val="00C179EE"/>
    <w:rsid w:val="00C17D87"/>
    <w:rsid w:val="00C20372"/>
    <w:rsid w:val="00C20397"/>
    <w:rsid w:val="00C222DB"/>
    <w:rsid w:val="00C22506"/>
    <w:rsid w:val="00C25079"/>
    <w:rsid w:val="00C254CB"/>
    <w:rsid w:val="00C275DD"/>
    <w:rsid w:val="00C277FB"/>
    <w:rsid w:val="00C27A4B"/>
    <w:rsid w:val="00C30282"/>
    <w:rsid w:val="00C3040F"/>
    <w:rsid w:val="00C308F0"/>
    <w:rsid w:val="00C30BE7"/>
    <w:rsid w:val="00C3102D"/>
    <w:rsid w:val="00C314E1"/>
    <w:rsid w:val="00C31501"/>
    <w:rsid w:val="00C32C3C"/>
    <w:rsid w:val="00C33342"/>
    <w:rsid w:val="00C33364"/>
    <w:rsid w:val="00C34D11"/>
    <w:rsid w:val="00C34EAB"/>
    <w:rsid w:val="00C353F4"/>
    <w:rsid w:val="00C36869"/>
    <w:rsid w:val="00C36DE7"/>
    <w:rsid w:val="00C36F13"/>
    <w:rsid w:val="00C370D5"/>
    <w:rsid w:val="00C373DA"/>
    <w:rsid w:val="00C3759B"/>
    <w:rsid w:val="00C37679"/>
    <w:rsid w:val="00C37E49"/>
    <w:rsid w:val="00C4011B"/>
    <w:rsid w:val="00C40ED3"/>
    <w:rsid w:val="00C43766"/>
    <w:rsid w:val="00C43981"/>
    <w:rsid w:val="00C43E66"/>
    <w:rsid w:val="00C4413C"/>
    <w:rsid w:val="00C4429B"/>
    <w:rsid w:val="00C454BE"/>
    <w:rsid w:val="00C467E9"/>
    <w:rsid w:val="00C46B20"/>
    <w:rsid w:val="00C475BE"/>
    <w:rsid w:val="00C50436"/>
    <w:rsid w:val="00C52088"/>
    <w:rsid w:val="00C52BAC"/>
    <w:rsid w:val="00C52C41"/>
    <w:rsid w:val="00C530E0"/>
    <w:rsid w:val="00C53550"/>
    <w:rsid w:val="00C537EB"/>
    <w:rsid w:val="00C5404C"/>
    <w:rsid w:val="00C55AE4"/>
    <w:rsid w:val="00C562E1"/>
    <w:rsid w:val="00C5640C"/>
    <w:rsid w:val="00C56DFA"/>
    <w:rsid w:val="00C57660"/>
    <w:rsid w:val="00C577E4"/>
    <w:rsid w:val="00C57F9C"/>
    <w:rsid w:val="00C60162"/>
    <w:rsid w:val="00C60479"/>
    <w:rsid w:val="00C60DAB"/>
    <w:rsid w:val="00C6128D"/>
    <w:rsid w:val="00C61773"/>
    <w:rsid w:val="00C61DE1"/>
    <w:rsid w:val="00C62A16"/>
    <w:rsid w:val="00C6365B"/>
    <w:rsid w:val="00C64858"/>
    <w:rsid w:val="00C648EC"/>
    <w:rsid w:val="00C64A27"/>
    <w:rsid w:val="00C64B99"/>
    <w:rsid w:val="00C65A93"/>
    <w:rsid w:val="00C65B56"/>
    <w:rsid w:val="00C67148"/>
    <w:rsid w:val="00C67A96"/>
    <w:rsid w:val="00C67B02"/>
    <w:rsid w:val="00C67F12"/>
    <w:rsid w:val="00C701B1"/>
    <w:rsid w:val="00C70985"/>
    <w:rsid w:val="00C70C8C"/>
    <w:rsid w:val="00C71337"/>
    <w:rsid w:val="00C7164A"/>
    <w:rsid w:val="00C72C46"/>
    <w:rsid w:val="00C736B1"/>
    <w:rsid w:val="00C73C0C"/>
    <w:rsid w:val="00C75C30"/>
    <w:rsid w:val="00C75EDB"/>
    <w:rsid w:val="00C761F6"/>
    <w:rsid w:val="00C762A2"/>
    <w:rsid w:val="00C77653"/>
    <w:rsid w:val="00C77BA5"/>
    <w:rsid w:val="00C77D03"/>
    <w:rsid w:val="00C80418"/>
    <w:rsid w:val="00C80709"/>
    <w:rsid w:val="00C80E71"/>
    <w:rsid w:val="00C829DD"/>
    <w:rsid w:val="00C8346A"/>
    <w:rsid w:val="00C83582"/>
    <w:rsid w:val="00C83735"/>
    <w:rsid w:val="00C8375F"/>
    <w:rsid w:val="00C83BCC"/>
    <w:rsid w:val="00C85392"/>
    <w:rsid w:val="00C860ED"/>
    <w:rsid w:val="00C8633C"/>
    <w:rsid w:val="00C863BD"/>
    <w:rsid w:val="00C866BE"/>
    <w:rsid w:val="00C866CC"/>
    <w:rsid w:val="00C870CD"/>
    <w:rsid w:val="00C872B8"/>
    <w:rsid w:val="00C8738C"/>
    <w:rsid w:val="00C879BE"/>
    <w:rsid w:val="00C914B6"/>
    <w:rsid w:val="00C9197B"/>
    <w:rsid w:val="00C91F00"/>
    <w:rsid w:val="00C92BC8"/>
    <w:rsid w:val="00C9302A"/>
    <w:rsid w:val="00C93061"/>
    <w:rsid w:val="00C93F6A"/>
    <w:rsid w:val="00C9498C"/>
    <w:rsid w:val="00C94B74"/>
    <w:rsid w:val="00C94F3E"/>
    <w:rsid w:val="00C95DA0"/>
    <w:rsid w:val="00C967F8"/>
    <w:rsid w:val="00C96A66"/>
    <w:rsid w:val="00C96AA8"/>
    <w:rsid w:val="00C96F1C"/>
    <w:rsid w:val="00C97205"/>
    <w:rsid w:val="00CA00FD"/>
    <w:rsid w:val="00CA0158"/>
    <w:rsid w:val="00CA177D"/>
    <w:rsid w:val="00CA19D1"/>
    <w:rsid w:val="00CA2163"/>
    <w:rsid w:val="00CA2254"/>
    <w:rsid w:val="00CA23C2"/>
    <w:rsid w:val="00CA252E"/>
    <w:rsid w:val="00CA2852"/>
    <w:rsid w:val="00CA2C43"/>
    <w:rsid w:val="00CA2EA8"/>
    <w:rsid w:val="00CA3005"/>
    <w:rsid w:val="00CA34B1"/>
    <w:rsid w:val="00CA3632"/>
    <w:rsid w:val="00CA4369"/>
    <w:rsid w:val="00CA4CED"/>
    <w:rsid w:val="00CA565E"/>
    <w:rsid w:val="00CA67FA"/>
    <w:rsid w:val="00CA6CF3"/>
    <w:rsid w:val="00CA73DD"/>
    <w:rsid w:val="00CA772B"/>
    <w:rsid w:val="00CA79E8"/>
    <w:rsid w:val="00CA7F2C"/>
    <w:rsid w:val="00CB0594"/>
    <w:rsid w:val="00CB0A45"/>
    <w:rsid w:val="00CB1883"/>
    <w:rsid w:val="00CB2035"/>
    <w:rsid w:val="00CB25C4"/>
    <w:rsid w:val="00CB361E"/>
    <w:rsid w:val="00CB3BD7"/>
    <w:rsid w:val="00CB437F"/>
    <w:rsid w:val="00CB441A"/>
    <w:rsid w:val="00CB4C9C"/>
    <w:rsid w:val="00CB5512"/>
    <w:rsid w:val="00CB56BE"/>
    <w:rsid w:val="00CB5C85"/>
    <w:rsid w:val="00CB60D9"/>
    <w:rsid w:val="00CB6395"/>
    <w:rsid w:val="00CB68A3"/>
    <w:rsid w:val="00CB6EBC"/>
    <w:rsid w:val="00CB722A"/>
    <w:rsid w:val="00CB774C"/>
    <w:rsid w:val="00CB7C16"/>
    <w:rsid w:val="00CB7C8A"/>
    <w:rsid w:val="00CB7D28"/>
    <w:rsid w:val="00CB7EAE"/>
    <w:rsid w:val="00CC0E80"/>
    <w:rsid w:val="00CC17EA"/>
    <w:rsid w:val="00CC1DA1"/>
    <w:rsid w:val="00CC2179"/>
    <w:rsid w:val="00CC2572"/>
    <w:rsid w:val="00CC35AE"/>
    <w:rsid w:val="00CC4D33"/>
    <w:rsid w:val="00CC54EC"/>
    <w:rsid w:val="00CC65A2"/>
    <w:rsid w:val="00CC6DE0"/>
    <w:rsid w:val="00CC7B02"/>
    <w:rsid w:val="00CC7C12"/>
    <w:rsid w:val="00CD0DCB"/>
    <w:rsid w:val="00CD1626"/>
    <w:rsid w:val="00CD2430"/>
    <w:rsid w:val="00CD2929"/>
    <w:rsid w:val="00CD2A30"/>
    <w:rsid w:val="00CD2B04"/>
    <w:rsid w:val="00CD3019"/>
    <w:rsid w:val="00CD31D4"/>
    <w:rsid w:val="00CD3360"/>
    <w:rsid w:val="00CD3533"/>
    <w:rsid w:val="00CD3603"/>
    <w:rsid w:val="00CD4179"/>
    <w:rsid w:val="00CD5745"/>
    <w:rsid w:val="00CD5B16"/>
    <w:rsid w:val="00CD5FF9"/>
    <w:rsid w:val="00CD65B8"/>
    <w:rsid w:val="00CD6695"/>
    <w:rsid w:val="00CD6C1F"/>
    <w:rsid w:val="00CD7719"/>
    <w:rsid w:val="00CD7812"/>
    <w:rsid w:val="00CE072E"/>
    <w:rsid w:val="00CE12EB"/>
    <w:rsid w:val="00CE29DA"/>
    <w:rsid w:val="00CE2C45"/>
    <w:rsid w:val="00CE3305"/>
    <w:rsid w:val="00CE58C5"/>
    <w:rsid w:val="00CE604D"/>
    <w:rsid w:val="00CE71DD"/>
    <w:rsid w:val="00CE7AC3"/>
    <w:rsid w:val="00CF15E7"/>
    <w:rsid w:val="00CF2031"/>
    <w:rsid w:val="00CF2091"/>
    <w:rsid w:val="00CF231B"/>
    <w:rsid w:val="00CF265C"/>
    <w:rsid w:val="00CF277E"/>
    <w:rsid w:val="00CF3066"/>
    <w:rsid w:val="00CF3580"/>
    <w:rsid w:val="00CF3B44"/>
    <w:rsid w:val="00CF4111"/>
    <w:rsid w:val="00CF5391"/>
    <w:rsid w:val="00CF53CC"/>
    <w:rsid w:val="00CF5421"/>
    <w:rsid w:val="00CF57A6"/>
    <w:rsid w:val="00CF5EF1"/>
    <w:rsid w:val="00CF6033"/>
    <w:rsid w:val="00CF67DB"/>
    <w:rsid w:val="00CF6CC8"/>
    <w:rsid w:val="00CF745A"/>
    <w:rsid w:val="00CF7554"/>
    <w:rsid w:val="00CF78A0"/>
    <w:rsid w:val="00CF7CCB"/>
    <w:rsid w:val="00D003FB"/>
    <w:rsid w:val="00D004B6"/>
    <w:rsid w:val="00D00522"/>
    <w:rsid w:val="00D00E03"/>
    <w:rsid w:val="00D01024"/>
    <w:rsid w:val="00D01165"/>
    <w:rsid w:val="00D01B0A"/>
    <w:rsid w:val="00D02402"/>
    <w:rsid w:val="00D02FFF"/>
    <w:rsid w:val="00D03438"/>
    <w:rsid w:val="00D0381E"/>
    <w:rsid w:val="00D0460C"/>
    <w:rsid w:val="00D048B3"/>
    <w:rsid w:val="00D04F2B"/>
    <w:rsid w:val="00D05262"/>
    <w:rsid w:val="00D0529B"/>
    <w:rsid w:val="00D05B01"/>
    <w:rsid w:val="00D05C4F"/>
    <w:rsid w:val="00D07AA1"/>
    <w:rsid w:val="00D1072C"/>
    <w:rsid w:val="00D10882"/>
    <w:rsid w:val="00D10F89"/>
    <w:rsid w:val="00D11047"/>
    <w:rsid w:val="00D11210"/>
    <w:rsid w:val="00D1173A"/>
    <w:rsid w:val="00D11D52"/>
    <w:rsid w:val="00D1307D"/>
    <w:rsid w:val="00D14312"/>
    <w:rsid w:val="00D1609D"/>
    <w:rsid w:val="00D16F65"/>
    <w:rsid w:val="00D1776A"/>
    <w:rsid w:val="00D20091"/>
    <w:rsid w:val="00D20F1E"/>
    <w:rsid w:val="00D21DFA"/>
    <w:rsid w:val="00D21F23"/>
    <w:rsid w:val="00D22358"/>
    <w:rsid w:val="00D23606"/>
    <w:rsid w:val="00D23C61"/>
    <w:rsid w:val="00D23E80"/>
    <w:rsid w:val="00D24457"/>
    <w:rsid w:val="00D24784"/>
    <w:rsid w:val="00D25028"/>
    <w:rsid w:val="00D25E86"/>
    <w:rsid w:val="00D2635B"/>
    <w:rsid w:val="00D26536"/>
    <w:rsid w:val="00D268E2"/>
    <w:rsid w:val="00D27F96"/>
    <w:rsid w:val="00D302CE"/>
    <w:rsid w:val="00D304A6"/>
    <w:rsid w:val="00D305FB"/>
    <w:rsid w:val="00D30808"/>
    <w:rsid w:val="00D30A2A"/>
    <w:rsid w:val="00D316BA"/>
    <w:rsid w:val="00D31C1A"/>
    <w:rsid w:val="00D3211C"/>
    <w:rsid w:val="00D32811"/>
    <w:rsid w:val="00D32873"/>
    <w:rsid w:val="00D32CBC"/>
    <w:rsid w:val="00D33053"/>
    <w:rsid w:val="00D333D2"/>
    <w:rsid w:val="00D359BB"/>
    <w:rsid w:val="00D35F82"/>
    <w:rsid w:val="00D40878"/>
    <w:rsid w:val="00D40F37"/>
    <w:rsid w:val="00D420E7"/>
    <w:rsid w:val="00D433EF"/>
    <w:rsid w:val="00D434F1"/>
    <w:rsid w:val="00D43B12"/>
    <w:rsid w:val="00D43CCC"/>
    <w:rsid w:val="00D43F46"/>
    <w:rsid w:val="00D45AA7"/>
    <w:rsid w:val="00D45F6D"/>
    <w:rsid w:val="00D45FA6"/>
    <w:rsid w:val="00D461BE"/>
    <w:rsid w:val="00D4650C"/>
    <w:rsid w:val="00D46B58"/>
    <w:rsid w:val="00D472DF"/>
    <w:rsid w:val="00D4776D"/>
    <w:rsid w:val="00D503DA"/>
    <w:rsid w:val="00D51D07"/>
    <w:rsid w:val="00D523F4"/>
    <w:rsid w:val="00D52631"/>
    <w:rsid w:val="00D528F5"/>
    <w:rsid w:val="00D5339F"/>
    <w:rsid w:val="00D555E5"/>
    <w:rsid w:val="00D55876"/>
    <w:rsid w:val="00D5608F"/>
    <w:rsid w:val="00D5638C"/>
    <w:rsid w:val="00D5667B"/>
    <w:rsid w:val="00D56B0B"/>
    <w:rsid w:val="00D572EF"/>
    <w:rsid w:val="00D60E32"/>
    <w:rsid w:val="00D60F4B"/>
    <w:rsid w:val="00D61326"/>
    <w:rsid w:val="00D617E7"/>
    <w:rsid w:val="00D624EB"/>
    <w:rsid w:val="00D628E3"/>
    <w:rsid w:val="00D62BB7"/>
    <w:rsid w:val="00D632C3"/>
    <w:rsid w:val="00D6334E"/>
    <w:rsid w:val="00D6405A"/>
    <w:rsid w:val="00D64B1C"/>
    <w:rsid w:val="00D64B66"/>
    <w:rsid w:val="00D64C93"/>
    <w:rsid w:val="00D64E58"/>
    <w:rsid w:val="00D64F9F"/>
    <w:rsid w:val="00D659ED"/>
    <w:rsid w:val="00D66512"/>
    <w:rsid w:val="00D66C70"/>
    <w:rsid w:val="00D67266"/>
    <w:rsid w:val="00D67554"/>
    <w:rsid w:val="00D67C3D"/>
    <w:rsid w:val="00D67F92"/>
    <w:rsid w:val="00D703EA"/>
    <w:rsid w:val="00D70A7C"/>
    <w:rsid w:val="00D70C56"/>
    <w:rsid w:val="00D71713"/>
    <w:rsid w:val="00D72409"/>
    <w:rsid w:val="00D72739"/>
    <w:rsid w:val="00D7293E"/>
    <w:rsid w:val="00D72A28"/>
    <w:rsid w:val="00D72B0A"/>
    <w:rsid w:val="00D73131"/>
    <w:rsid w:val="00D74315"/>
    <w:rsid w:val="00D7453D"/>
    <w:rsid w:val="00D74AFF"/>
    <w:rsid w:val="00D75583"/>
    <w:rsid w:val="00D77090"/>
    <w:rsid w:val="00D7740F"/>
    <w:rsid w:val="00D779DA"/>
    <w:rsid w:val="00D77C0E"/>
    <w:rsid w:val="00D8071F"/>
    <w:rsid w:val="00D807D7"/>
    <w:rsid w:val="00D80846"/>
    <w:rsid w:val="00D80B50"/>
    <w:rsid w:val="00D80CC8"/>
    <w:rsid w:val="00D8124A"/>
    <w:rsid w:val="00D827F7"/>
    <w:rsid w:val="00D8355F"/>
    <w:rsid w:val="00D83A88"/>
    <w:rsid w:val="00D84803"/>
    <w:rsid w:val="00D84945"/>
    <w:rsid w:val="00D84EE6"/>
    <w:rsid w:val="00D861CA"/>
    <w:rsid w:val="00D86DB6"/>
    <w:rsid w:val="00D87061"/>
    <w:rsid w:val="00D8732B"/>
    <w:rsid w:val="00D9029E"/>
    <w:rsid w:val="00D916E0"/>
    <w:rsid w:val="00D91794"/>
    <w:rsid w:val="00D91CA0"/>
    <w:rsid w:val="00D91D70"/>
    <w:rsid w:val="00D9209E"/>
    <w:rsid w:val="00D93821"/>
    <w:rsid w:val="00D94AAF"/>
    <w:rsid w:val="00D95727"/>
    <w:rsid w:val="00D9575E"/>
    <w:rsid w:val="00D957FA"/>
    <w:rsid w:val="00D958D3"/>
    <w:rsid w:val="00D95CBA"/>
    <w:rsid w:val="00D973BA"/>
    <w:rsid w:val="00D97D85"/>
    <w:rsid w:val="00DA0A49"/>
    <w:rsid w:val="00DA0FF5"/>
    <w:rsid w:val="00DA1937"/>
    <w:rsid w:val="00DA1DF1"/>
    <w:rsid w:val="00DA1F09"/>
    <w:rsid w:val="00DA1FBB"/>
    <w:rsid w:val="00DA3637"/>
    <w:rsid w:val="00DA3DE5"/>
    <w:rsid w:val="00DA3FF7"/>
    <w:rsid w:val="00DA4C93"/>
    <w:rsid w:val="00DA5BB1"/>
    <w:rsid w:val="00DA6B34"/>
    <w:rsid w:val="00DA79C0"/>
    <w:rsid w:val="00DA7A37"/>
    <w:rsid w:val="00DA7EC5"/>
    <w:rsid w:val="00DB0583"/>
    <w:rsid w:val="00DB0BA5"/>
    <w:rsid w:val="00DB0BB4"/>
    <w:rsid w:val="00DB1243"/>
    <w:rsid w:val="00DB1D97"/>
    <w:rsid w:val="00DB1EC6"/>
    <w:rsid w:val="00DB20FE"/>
    <w:rsid w:val="00DB22C2"/>
    <w:rsid w:val="00DB2405"/>
    <w:rsid w:val="00DB2591"/>
    <w:rsid w:val="00DB3388"/>
    <w:rsid w:val="00DB4063"/>
    <w:rsid w:val="00DB495B"/>
    <w:rsid w:val="00DB4B9A"/>
    <w:rsid w:val="00DB5344"/>
    <w:rsid w:val="00DB5678"/>
    <w:rsid w:val="00DB5A48"/>
    <w:rsid w:val="00DB5F2F"/>
    <w:rsid w:val="00DB5F49"/>
    <w:rsid w:val="00DB63F3"/>
    <w:rsid w:val="00DB75F2"/>
    <w:rsid w:val="00DC0191"/>
    <w:rsid w:val="00DC0961"/>
    <w:rsid w:val="00DC09DF"/>
    <w:rsid w:val="00DC0FE1"/>
    <w:rsid w:val="00DC1415"/>
    <w:rsid w:val="00DC1C2E"/>
    <w:rsid w:val="00DC2ADC"/>
    <w:rsid w:val="00DC31CA"/>
    <w:rsid w:val="00DC410A"/>
    <w:rsid w:val="00DC462D"/>
    <w:rsid w:val="00DC476B"/>
    <w:rsid w:val="00DC63AB"/>
    <w:rsid w:val="00DC6878"/>
    <w:rsid w:val="00DC785E"/>
    <w:rsid w:val="00DC7C2F"/>
    <w:rsid w:val="00DC7FE1"/>
    <w:rsid w:val="00DD02C7"/>
    <w:rsid w:val="00DD0604"/>
    <w:rsid w:val="00DD1985"/>
    <w:rsid w:val="00DD2836"/>
    <w:rsid w:val="00DD37FA"/>
    <w:rsid w:val="00DD3C3C"/>
    <w:rsid w:val="00DD404D"/>
    <w:rsid w:val="00DD52E1"/>
    <w:rsid w:val="00DD62C1"/>
    <w:rsid w:val="00DD6827"/>
    <w:rsid w:val="00DD6887"/>
    <w:rsid w:val="00DD6AFE"/>
    <w:rsid w:val="00DD7057"/>
    <w:rsid w:val="00DD7121"/>
    <w:rsid w:val="00DE000A"/>
    <w:rsid w:val="00DE0060"/>
    <w:rsid w:val="00DE13B8"/>
    <w:rsid w:val="00DE1F14"/>
    <w:rsid w:val="00DE28BA"/>
    <w:rsid w:val="00DE29D6"/>
    <w:rsid w:val="00DE2AD7"/>
    <w:rsid w:val="00DE322C"/>
    <w:rsid w:val="00DE3283"/>
    <w:rsid w:val="00DE33B5"/>
    <w:rsid w:val="00DE3608"/>
    <w:rsid w:val="00DE3C29"/>
    <w:rsid w:val="00DE4B8C"/>
    <w:rsid w:val="00DE573D"/>
    <w:rsid w:val="00DE5E14"/>
    <w:rsid w:val="00DE674E"/>
    <w:rsid w:val="00DE6C2F"/>
    <w:rsid w:val="00DE7964"/>
    <w:rsid w:val="00DF024F"/>
    <w:rsid w:val="00DF039D"/>
    <w:rsid w:val="00DF08B8"/>
    <w:rsid w:val="00DF09E6"/>
    <w:rsid w:val="00DF202A"/>
    <w:rsid w:val="00DF25CE"/>
    <w:rsid w:val="00DF3BCD"/>
    <w:rsid w:val="00DF3D64"/>
    <w:rsid w:val="00DF3EC2"/>
    <w:rsid w:val="00DF47D4"/>
    <w:rsid w:val="00DF53F7"/>
    <w:rsid w:val="00DF5B5E"/>
    <w:rsid w:val="00DF5C61"/>
    <w:rsid w:val="00DF5DD3"/>
    <w:rsid w:val="00DF6A64"/>
    <w:rsid w:val="00DF6F23"/>
    <w:rsid w:val="00DF7208"/>
    <w:rsid w:val="00DF7A8A"/>
    <w:rsid w:val="00DF7E34"/>
    <w:rsid w:val="00E0058F"/>
    <w:rsid w:val="00E0118A"/>
    <w:rsid w:val="00E01200"/>
    <w:rsid w:val="00E01855"/>
    <w:rsid w:val="00E02621"/>
    <w:rsid w:val="00E02DE2"/>
    <w:rsid w:val="00E0410B"/>
    <w:rsid w:val="00E04DEB"/>
    <w:rsid w:val="00E054EF"/>
    <w:rsid w:val="00E060E0"/>
    <w:rsid w:val="00E06503"/>
    <w:rsid w:val="00E06546"/>
    <w:rsid w:val="00E06870"/>
    <w:rsid w:val="00E069C0"/>
    <w:rsid w:val="00E06C90"/>
    <w:rsid w:val="00E07717"/>
    <w:rsid w:val="00E1081F"/>
    <w:rsid w:val="00E11BDA"/>
    <w:rsid w:val="00E11EDF"/>
    <w:rsid w:val="00E12616"/>
    <w:rsid w:val="00E12C9B"/>
    <w:rsid w:val="00E13315"/>
    <w:rsid w:val="00E136BB"/>
    <w:rsid w:val="00E14C5F"/>
    <w:rsid w:val="00E1503B"/>
    <w:rsid w:val="00E1594B"/>
    <w:rsid w:val="00E15FCE"/>
    <w:rsid w:val="00E16A64"/>
    <w:rsid w:val="00E174CF"/>
    <w:rsid w:val="00E2153F"/>
    <w:rsid w:val="00E215B0"/>
    <w:rsid w:val="00E22530"/>
    <w:rsid w:val="00E2275E"/>
    <w:rsid w:val="00E2309A"/>
    <w:rsid w:val="00E23734"/>
    <w:rsid w:val="00E23A05"/>
    <w:rsid w:val="00E23EA7"/>
    <w:rsid w:val="00E24F1C"/>
    <w:rsid w:val="00E2529D"/>
    <w:rsid w:val="00E2588A"/>
    <w:rsid w:val="00E27011"/>
    <w:rsid w:val="00E272CF"/>
    <w:rsid w:val="00E305B0"/>
    <w:rsid w:val="00E3090C"/>
    <w:rsid w:val="00E31EDC"/>
    <w:rsid w:val="00E32ACB"/>
    <w:rsid w:val="00E34ACC"/>
    <w:rsid w:val="00E34E7C"/>
    <w:rsid w:val="00E354C7"/>
    <w:rsid w:val="00E35A08"/>
    <w:rsid w:val="00E37858"/>
    <w:rsid w:val="00E41640"/>
    <w:rsid w:val="00E4192B"/>
    <w:rsid w:val="00E4197C"/>
    <w:rsid w:val="00E4235A"/>
    <w:rsid w:val="00E42ABF"/>
    <w:rsid w:val="00E42C8D"/>
    <w:rsid w:val="00E42DFA"/>
    <w:rsid w:val="00E43C06"/>
    <w:rsid w:val="00E442B8"/>
    <w:rsid w:val="00E443D4"/>
    <w:rsid w:val="00E45A2E"/>
    <w:rsid w:val="00E4622E"/>
    <w:rsid w:val="00E463AE"/>
    <w:rsid w:val="00E46B64"/>
    <w:rsid w:val="00E47D8C"/>
    <w:rsid w:val="00E50273"/>
    <w:rsid w:val="00E502C3"/>
    <w:rsid w:val="00E5074F"/>
    <w:rsid w:val="00E50BDD"/>
    <w:rsid w:val="00E51298"/>
    <w:rsid w:val="00E512F5"/>
    <w:rsid w:val="00E52FA1"/>
    <w:rsid w:val="00E533B0"/>
    <w:rsid w:val="00E53489"/>
    <w:rsid w:val="00E536F3"/>
    <w:rsid w:val="00E53B62"/>
    <w:rsid w:val="00E53C0D"/>
    <w:rsid w:val="00E53F7B"/>
    <w:rsid w:val="00E54874"/>
    <w:rsid w:val="00E548FD"/>
    <w:rsid w:val="00E54BB3"/>
    <w:rsid w:val="00E54C8B"/>
    <w:rsid w:val="00E54EA4"/>
    <w:rsid w:val="00E5565F"/>
    <w:rsid w:val="00E56759"/>
    <w:rsid w:val="00E56855"/>
    <w:rsid w:val="00E56948"/>
    <w:rsid w:val="00E56FB8"/>
    <w:rsid w:val="00E60147"/>
    <w:rsid w:val="00E60BB1"/>
    <w:rsid w:val="00E60DFD"/>
    <w:rsid w:val="00E6109A"/>
    <w:rsid w:val="00E61132"/>
    <w:rsid w:val="00E61798"/>
    <w:rsid w:val="00E6179D"/>
    <w:rsid w:val="00E62FF1"/>
    <w:rsid w:val="00E63CE3"/>
    <w:rsid w:val="00E63DA2"/>
    <w:rsid w:val="00E642DB"/>
    <w:rsid w:val="00E64495"/>
    <w:rsid w:val="00E64B10"/>
    <w:rsid w:val="00E654A7"/>
    <w:rsid w:val="00E65531"/>
    <w:rsid w:val="00E65D7F"/>
    <w:rsid w:val="00E6661D"/>
    <w:rsid w:val="00E669F0"/>
    <w:rsid w:val="00E66D97"/>
    <w:rsid w:val="00E7078C"/>
    <w:rsid w:val="00E707BF"/>
    <w:rsid w:val="00E7085D"/>
    <w:rsid w:val="00E7122B"/>
    <w:rsid w:val="00E71617"/>
    <w:rsid w:val="00E71B56"/>
    <w:rsid w:val="00E71C80"/>
    <w:rsid w:val="00E722BF"/>
    <w:rsid w:val="00E7230F"/>
    <w:rsid w:val="00E72398"/>
    <w:rsid w:val="00E7264E"/>
    <w:rsid w:val="00E727F6"/>
    <w:rsid w:val="00E73110"/>
    <w:rsid w:val="00E73BF2"/>
    <w:rsid w:val="00E74057"/>
    <w:rsid w:val="00E751AD"/>
    <w:rsid w:val="00E7547C"/>
    <w:rsid w:val="00E75684"/>
    <w:rsid w:val="00E764A0"/>
    <w:rsid w:val="00E76D37"/>
    <w:rsid w:val="00E77432"/>
    <w:rsid w:val="00E77A2D"/>
    <w:rsid w:val="00E8030D"/>
    <w:rsid w:val="00E80B23"/>
    <w:rsid w:val="00E8104C"/>
    <w:rsid w:val="00E81F5F"/>
    <w:rsid w:val="00E81FC0"/>
    <w:rsid w:val="00E8389F"/>
    <w:rsid w:val="00E83F8C"/>
    <w:rsid w:val="00E840AB"/>
    <w:rsid w:val="00E85C7C"/>
    <w:rsid w:val="00E85F33"/>
    <w:rsid w:val="00E86645"/>
    <w:rsid w:val="00E86AA0"/>
    <w:rsid w:val="00E9031C"/>
    <w:rsid w:val="00E90476"/>
    <w:rsid w:val="00E90AE2"/>
    <w:rsid w:val="00E90C9F"/>
    <w:rsid w:val="00E91E55"/>
    <w:rsid w:val="00E93CC1"/>
    <w:rsid w:val="00E93FC7"/>
    <w:rsid w:val="00E93FF0"/>
    <w:rsid w:val="00E9460C"/>
    <w:rsid w:val="00E94B42"/>
    <w:rsid w:val="00E95644"/>
    <w:rsid w:val="00E957CA"/>
    <w:rsid w:val="00E95C08"/>
    <w:rsid w:val="00E96CE6"/>
    <w:rsid w:val="00E97A90"/>
    <w:rsid w:val="00E97FDD"/>
    <w:rsid w:val="00EA0255"/>
    <w:rsid w:val="00EA12CA"/>
    <w:rsid w:val="00EA164E"/>
    <w:rsid w:val="00EA2666"/>
    <w:rsid w:val="00EA2ABD"/>
    <w:rsid w:val="00EA2E73"/>
    <w:rsid w:val="00EA3163"/>
    <w:rsid w:val="00EA3E1D"/>
    <w:rsid w:val="00EA4364"/>
    <w:rsid w:val="00EA52B5"/>
    <w:rsid w:val="00EA5446"/>
    <w:rsid w:val="00EA6D67"/>
    <w:rsid w:val="00EA75FC"/>
    <w:rsid w:val="00EA778F"/>
    <w:rsid w:val="00EA7BBF"/>
    <w:rsid w:val="00EB0D85"/>
    <w:rsid w:val="00EB1033"/>
    <w:rsid w:val="00EB15D9"/>
    <w:rsid w:val="00EB21B7"/>
    <w:rsid w:val="00EB2508"/>
    <w:rsid w:val="00EB2C1B"/>
    <w:rsid w:val="00EB2D86"/>
    <w:rsid w:val="00EB3B29"/>
    <w:rsid w:val="00EB3DA6"/>
    <w:rsid w:val="00EB4377"/>
    <w:rsid w:val="00EB477B"/>
    <w:rsid w:val="00EB4C1A"/>
    <w:rsid w:val="00EB51E4"/>
    <w:rsid w:val="00EB5262"/>
    <w:rsid w:val="00EB545E"/>
    <w:rsid w:val="00EB5907"/>
    <w:rsid w:val="00EB612A"/>
    <w:rsid w:val="00EB7595"/>
    <w:rsid w:val="00EB7607"/>
    <w:rsid w:val="00EC02EE"/>
    <w:rsid w:val="00EC0E0E"/>
    <w:rsid w:val="00EC10A2"/>
    <w:rsid w:val="00EC1A0B"/>
    <w:rsid w:val="00EC1A4F"/>
    <w:rsid w:val="00EC1B30"/>
    <w:rsid w:val="00EC38CD"/>
    <w:rsid w:val="00EC3A7F"/>
    <w:rsid w:val="00EC3B4F"/>
    <w:rsid w:val="00EC405E"/>
    <w:rsid w:val="00EC46E3"/>
    <w:rsid w:val="00EC60B2"/>
    <w:rsid w:val="00EC6319"/>
    <w:rsid w:val="00EC643E"/>
    <w:rsid w:val="00EC6B8A"/>
    <w:rsid w:val="00EC74EE"/>
    <w:rsid w:val="00EC7A85"/>
    <w:rsid w:val="00EC7EC0"/>
    <w:rsid w:val="00ED05B2"/>
    <w:rsid w:val="00ED065C"/>
    <w:rsid w:val="00ED1F01"/>
    <w:rsid w:val="00ED2A1E"/>
    <w:rsid w:val="00ED2EC5"/>
    <w:rsid w:val="00ED5331"/>
    <w:rsid w:val="00ED6472"/>
    <w:rsid w:val="00ED65CF"/>
    <w:rsid w:val="00ED672F"/>
    <w:rsid w:val="00ED675F"/>
    <w:rsid w:val="00ED6ECF"/>
    <w:rsid w:val="00ED710B"/>
    <w:rsid w:val="00ED72D0"/>
    <w:rsid w:val="00EE008E"/>
    <w:rsid w:val="00EE0DEF"/>
    <w:rsid w:val="00EE14A9"/>
    <w:rsid w:val="00EE1809"/>
    <w:rsid w:val="00EE2D15"/>
    <w:rsid w:val="00EE5740"/>
    <w:rsid w:val="00EE592E"/>
    <w:rsid w:val="00EE59B7"/>
    <w:rsid w:val="00EE68D9"/>
    <w:rsid w:val="00EE781E"/>
    <w:rsid w:val="00EE791C"/>
    <w:rsid w:val="00EE797D"/>
    <w:rsid w:val="00EF0780"/>
    <w:rsid w:val="00EF0B69"/>
    <w:rsid w:val="00EF14A7"/>
    <w:rsid w:val="00EF16D9"/>
    <w:rsid w:val="00EF23EB"/>
    <w:rsid w:val="00EF271E"/>
    <w:rsid w:val="00EF2B2C"/>
    <w:rsid w:val="00EF318A"/>
    <w:rsid w:val="00EF3806"/>
    <w:rsid w:val="00EF3933"/>
    <w:rsid w:val="00EF44DE"/>
    <w:rsid w:val="00EF51C2"/>
    <w:rsid w:val="00EF61A7"/>
    <w:rsid w:val="00EF62F9"/>
    <w:rsid w:val="00EF70BF"/>
    <w:rsid w:val="00EF76B6"/>
    <w:rsid w:val="00F00017"/>
    <w:rsid w:val="00F01EF2"/>
    <w:rsid w:val="00F0263F"/>
    <w:rsid w:val="00F02F9D"/>
    <w:rsid w:val="00F044E7"/>
    <w:rsid w:val="00F049E3"/>
    <w:rsid w:val="00F058B1"/>
    <w:rsid w:val="00F06649"/>
    <w:rsid w:val="00F075F5"/>
    <w:rsid w:val="00F104C6"/>
    <w:rsid w:val="00F107C5"/>
    <w:rsid w:val="00F107FA"/>
    <w:rsid w:val="00F1132D"/>
    <w:rsid w:val="00F1146D"/>
    <w:rsid w:val="00F11DEA"/>
    <w:rsid w:val="00F12350"/>
    <w:rsid w:val="00F1240D"/>
    <w:rsid w:val="00F12B67"/>
    <w:rsid w:val="00F12C64"/>
    <w:rsid w:val="00F132D0"/>
    <w:rsid w:val="00F1373C"/>
    <w:rsid w:val="00F13933"/>
    <w:rsid w:val="00F141BE"/>
    <w:rsid w:val="00F1445E"/>
    <w:rsid w:val="00F14754"/>
    <w:rsid w:val="00F14BFC"/>
    <w:rsid w:val="00F16276"/>
    <w:rsid w:val="00F16567"/>
    <w:rsid w:val="00F166D4"/>
    <w:rsid w:val="00F20848"/>
    <w:rsid w:val="00F20958"/>
    <w:rsid w:val="00F21685"/>
    <w:rsid w:val="00F21BDF"/>
    <w:rsid w:val="00F21BE1"/>
    <w:rsid w:val="00F21BE5"/>
    <w:rsid w:val="00F21C46"/>
    <w:rsid w:val="00F2262A"/>
    <w:rsid w:val="00F22BF0"/>
    <w:rsid w:val="00F23A08"/>
    <w:rsid w:val="00F243F3"/>
    <w:rsid w:val="00F24B41"/>
    <w:rsid w:val="00F24FC8"/>
    <w:rsid w:val="00F26985"/>
    <w:rsid w:val="00F27055"/>
    <w:rsid w:val="00F27157"/>
    <w:rsid w:val="00F27ED5"/>
    <w:rsid w:val="00F27FA1"/>
    <w:rsid w:val="00F3014B"/>
    <w:rsid w:val="00F3037A"/>
    <w:rsid w:val="00F319CD"/>
    <w:rsid w:val="00F320E7"/>
    <w:rsid w:val="00F33A4F"/>
    <w:rsid w:val="00F33E45"/>
    <w:rsid w:val="00F33F4B"/>
    <w:rsid w:val="00F34420"/>
    <w:rsid w:val="00F35A55"/>
    <w:rsid w:val="00F35B17"/>
    <w:rsid w:val="00F35DE6"/>
    <w:rsid w:val="00F3629F"/>
    <w:rsid w:val="00F370FA"/>
    <w:rsid w:val="00F37B58"/>
    <w:rsid w:val="00F37CC1"/>
    <w:rsid w:val="00F40A7E"/>
    <w:rsid w:val="00F40E6C"/>
    <w:rsid w:val="00F4110E"/>
    <w:rsid w:val="00F412B1"/>
    <w:rsid w:val="00F41598"/>
    <w:rsid w:val="00F419F3"/>
    <w:rsid w:val="00F41DB8"/>
    <w:rsid w:val="00F42176"/>
    <w:rsid w:val="00F427CE"/>
    <w:rsid w:val="00F43516"/>
    <w:rsid w:val="00F43B39"/>
    <w:rsid w:val="00F455C6"/>
    <w:rsid w:val="00F45907"/>
    <w:rsid w:val="00F45A3F"/>
    <w:rsid w:val="00F45F7C"/>
    <w:rsid w:val="00F47299"/>
    <w:rsid w:val="00F47433"/>
    <w:rsid w:val="00F50BFB"/>
    <w:rsid w:val="00F52075"/>
    <w:rsid w:val="00F5305F"/>
    <w:rsid w:val="00F532E0"/>
    <w:rsid w:val="00F5338B"/>
    <w:rsid w:val="00F5363F"/>
    <w:rsid w:val="00F5364C"/>
    <w:rsid w:val="00F536C8"/>
    <w:rsid w:val="00F53CBF"/>
    <w:rsid w:val="00F54CC8"/>
    <w:rsid w:val="00F5580F"/>
    <w:rsid w:val="00F55D42"/>
    <w:rsid w:val="00F55EA4"/>
    <w:rsid w:val="00F57314"/>
    <w:rsid w:val="00F57588"/>
    <w:rsid w:val="00F5772E"/>
    <w:rsid w:val="00F6048A"/>
    <w:rsid w:val="00F60C5A"/>
    <w:rsid w:val="00F62642"/>
    <w:rsid w:val="00F62820"/>
    <w:rsid w:val="00F62A05"/>
    <w:rsid w:val="00F6310C"/>
    <w:rsid w:val="00F63620"/>
    <w:rsid w:val="00F64072"/>
    <w:rsid w:val="00F64446"/>
    <w:rsid w:val="00F6458E"/>
    <w:rsid w:val="00F64DE2"/>
    <w:rsid w:val="00F65656"/>
    <w:rsid w:val="00F66118"/>
    <w:rsid w:val="00F66128"/>
    <w:rsid w:val="00F664E2"/>
    <w:rsid w:val="00F66CD3"/>
    <w:rsid w:val="00F67866"/>
    <w:rsid w:val="00F722EF"/>
    <w:rsid w:val="00F7297D"/>
    <w:rsid w:val="00F73333"/>
    <w:rsid w:val="00F73A02"/>
    <w:rsid w:val="00F73FEE"/>
    <w:rsid w:val="00F74518"/>
    <w:rsid w:val="00F746EA"/>
    <w:rsid w:val="00F74861"/>
    <w:rsid w:val="00F749F3"/>
    <w:rsid w:val="00F74E2F"/>
    <w:rsid w:val="00F74F7F"/>
    <w:rsid w:val="00F754E1"/>
    <w:rsid w:val="00F76F1E"/>
    <w:rsid w:val="00F7797F"/>
    <w:rsid w:val="00F77F15"/>
    <w:rsid w:val="00F802D6"/>
    <w:rsid w:val="00F8044B"/>
    <w:rsid w:val="00F8148C"/>
    <w:rsid w:val="00F8171E"/>
    <w:rsid w:val="00F825FF"/>
    <w:rsid w:val="00F82DB0"/>
    <w:rsid w:val="00F83348"/>
    <w:rsid w:val="00F83513"/>
    <w:rsid w:val="00F83575"/>
    <w:rsid w:val="00F835E6"/>
    <w:rsid w:val="00F83BDC"/>
    <w:rsid w:val="00F83E50"/>
    <w:rsid w:val="00F844B7"/>
    <w:rsid w:val="00F84604"/>
    <w:rsid w:val="00F8540D"/>
    <w:rsid w:val="00F867B0"/>
    <w:rsid w:val="00F86E61"/>
    <w:rsid w:val="00F86E85"/>
    <w:rsid w:val="00F90407"/>
    <w:rsid w:val="00F908B6"/>
    <w:rsid w:val="00F911DE"/>
    <w:rsid w:val="00F914EB"/>
    <w:rsid w:val="00F91B2B"/>
    <w:rsid w:val="00F93626"/>
    <w:rsid w:val="00F9387E"/>
    <w:rsid w:val="00F93FF0"/>
    <w:rsid w:val="00F94797"/>
    <w:rsid w:val="00F951FB"/>
    <w:rsid w:val="00F95501"/>
    <w:rsid w:val="00F95535"/>
    <w:rsid w:val="00F958DC"/>
    <w:rsid w:val="00F96267"/>
    <w:rsid w:val="00F9657F"/>
    <w:rsid w:val="00F96BE6"/>
    <w:rsid w:val="00F97264"/>
    <w:rsid w:val="00FA0BDF"/>
    <w:rsid w:val="00FA1F6C"/>
    <w:rsid w:val="00FA243C"/>
    <w:rsid w:val="00FA26A6"/>
    <w:rsid w:val="00FA2BBC"/>
    <w:rsid w:val="00FA2D79"/>
    <w:rsid w:val="00FA32DE"/>
    <w:rsid w:val="00FA3EC9"/>
    <w:rsid w:val="00FA4405"/>
    <w:rsid w:val="00FA4C93"/>
    <w:rsid w:val="00FA5686"/>
    <w:rsid w:val="00FA6AA3"/>
    <w:rsid w:val="00FA6FAF"/>
    <w:rsid w:val="00FA7254"/>
    <w:rsid w:val="00FA7A69"/>
    <w:rsid w:val="00FB023B"/>
    <w:rsid w:val="00FB030E"/>
    <w:rsid w:val="00FB0EFA"/>
    <w:rsid w:val="00FB0FCD"/>
    <w:rsid w:val="00FB193B"/>
    <w:rsid w:val="00FB1F24"/>
    <w:rsid w:val="00FB2DFD"/>
    <w:rsid w:val="00FB366B"/>
    <w:rsid w:val="00FB3C41"/>
    <w:rsid w:val="00FB4B02"/>
    <w:rsid w:val="00FB5264"/>
    <w:rsid w:val="00FB5C3F"/>
    <w:rsid w:val="00FB5D82"/>
    <w:rsid w:val="00FB6834"/>
    <w:rsid w:val="00FB6982"/>
    <w:rsid w:val="00FB6A9C"/>
    <w:rsid w:val="00FB6D12"/>
    <w:rsid w:val="00FB7D09"/>
    <w:rsid w:val="00FC00A8"/>
    <w:rsid w:val="00FC0C1E"/>
    <w:rsid w:val="00FC1A9F"/>
    <w:rsid w:val="00FC2462"/>
    <w:rsid w:val="00FC2C91"/>
    <w:rsid w:val="00FC415D"/>
    <w:rsid w:val="00FC463F"/>
    <w:rsid w:val="00FC4797"/>
    <w:rsid w:val="00FC4DDA"/>
    <w:rsid w:val="00FC5837"/>
    <w:rsid w:val="00FC6315"/>
    <w:rsid w:val="00FC6347"/>
    <w:rsid w:val="00FC6AE1"/>
    <w:rsid w:val="00FC7179"/>
    <w:rsid w:val="00FC7977"/>
    <w:rsid w:val="00FC7F7B"/>
    <w:rsid w:val="00FD0D7C"/>
    <w:rsid w:val="00FD0E06"/>
    <w:rsid w:val="00FD1157"/>
    <w:rsid w:val="00FD1838"/>
    <w:rsid w:val="00FD215C"/>
    <w:rsid w:val="00FD2210"/>
    <w:rsid w:val="00FD3C42"/>
    <w:rsid w:val="00FD3E25"/>
    <w:rsid w:val="00FD418F"/>
    <w:rsid w:val="00FD4648"/>
    <w:rsid w:val="00FD4C58"/>
    <w:rsid w:val="00FD5075"/>
    <w:rsid w:val="00FD5A85"/>
    <w:rsid w:val="00FD5CBF"/>
    <w:rsid w:val="00FD5DA5"/>
    <w:rsid w:val="00FD68A4"/>
    <w:rsid w:val="00FD74D9"/>
    <w:rsid w:val="00FD78AC"/>
    <w:rsid w:val="00FD791E"/>
    <w:rsid w:val="00FD7B98"/>
    <w:rsid w:val="00FE0104"/>
    <w:rsid w:val="00FE0CF2"/>
    <w:rsid w:val="00FE0FB0"/>
    <w:rsid w:val="00FE121E"/>
    <w:rsid w:val="00FE1CC6"/>
    <w:rsid w:val="00FE27B3"/>
    <w:rsid w:val="00FE2C6F"/>
    <w:rsid w:val="00FE30C9"/>
    <w:rsid w:val="00FE3FD6"/>
    <w:rsid w:val="00FE4474"/>
    <w:rsid w:val="00FE4632"/>
    <w:rsid w:val="00FE520A"/>
    <w:rsid w:val="00FE5BD4"/>
    <w:rsid w:val="00FE6965"/>
    <w:rsid w:val="00FE697A"/>
    <w:rsid w:val="00FE6CBA"/>
    <w:rsid w:val="00FE707E"/>
    <w:rsid w:val="00FF04ED"/>
    <w:rsid w:val="00FF1496"/>
    <w:rsid w:val="00FF1E1F"/>
    <w:rsid w:val="00FF2118"/>
    <w:rsid w:val="00FF2A5F"/>
    <w:rsid w:val="00FF2B70"/>
    <w:rsid w:val="00FF41BD"/>
    <w:rsid w:val="00FF4F0B"/>
    <w:rsid w:val="00FF4F51"/>
    <w:rsid w:val="00FF5E47"/>
    <w:rsid w:val="00FF6574"/>
    <w:rsid w:val="014F22B3"/>
    <w:rsid w:val="01AB7368"/>
    <w:rsid w:val="0300386E"/>
    <w:rsid w:val="032B5FEF"/>
    <w:rsid w:val="036723DA"/>
    <w:rsid w:val="03D50A0C"/>
    <w:rsid w:val="03E80A65"/>
    <w:rsid w:val="05590B54"/>
    <w:rsid w:val="059A4AF7"/>
    <w:rsid w:val="05AE73AA"/>
    <w:rsid w:val="064004D3"/>
    <w:rsid w:val="06936FD0"/>
    <w:rsid w:val="0722055B"/>
    <w:rsid w:val="073B75E0"/>
    <w:rsid w:val="07786950"/>
    <w:rsid w:val="07797BB1"/>
    <w:rsid w:val="07A832D0"/>
    <w:rsid w:val="08F1586C"/>
    <w:rsid w:val="0A0B4470"/>
    <w:rsid w:val="0A941CF9"/>
    <w:rsid w:val="0AD57074"/>
    <w:rsid w:val="0BB97912"/>
    <w:rsid w:val="0D5E127F"/>
    <w:rsid w:val="0D8870BB"/>
    <w:rsid w:val="0DB63E8C"/>
    <w:rsid w:val="0E266744"/>
    <w:rsid w:val="0ED623D9"/>
    <w:rsid w:val="0EE138CB"/>
    <w:rsid w:val="0EE27A0B"/>
    <w:rsid w:val="0FD67A24"/>
    <w:rsid w:val="0FDF6AA8"/>
    <w:rsid w:val="100E52E5"/>
    <w:rsid w:val="10AC2E43"/>
    <w:rsid w:val="113A6FD0"/>
    <w:rsid w:val="126B2BC5"/>
    <w:rsid w:val="12AD10B0"/>
    <w:rsid w:val="12F37627"/>
    <w:rsid w:val="134F718E"/>
    <w:rsid w:val="136323A8"/>
    <w:rsid w:val="13896DA2"/>
    <w:rsid w:val="13E0771A"/>
    <w:rsid w:val="14755885"/>
    <w:rsid w:val="154E6181"/>
    <w:rsid w:val="1555138F"/>
    <w:rsid w:val="156E7876"/>
    <w:rsid w:val="163A644C"/>
    <w:rsid w:val="167C0989"/>
    <w:rsid w:val="178C31AD"/>
    <w:rsid w:val="182C52B5"/>
    <w:rsid w:val="18A43C7A"/>
    <w:rsid w:val="18CC73BC"/>
    <w:rsid w:val="19142E39"/>
    <w:rsid w:val="19516138"/>
    <w:rsid w:val="1B8465C1"/>
    <w:rsid w:val="1B9958A6"/>
    <w:rsid w:val="1BC44951"/>
    <w:rsid w:val="1C0A3092"/>
    <w:rsid w:val="1CEE68B6"/>
    <w:rsid w:val="1CF13015"/>
    <w:rsid w:val="1E432C32"/>
    <w:rsid w:val="1F84260E"/>
    <w:rsid w:val="1FCB71D3"/>
    <w:rsid w:val="2015711F"/>
    <w:rsid w:val="202C26E6"/>
    <w:rsid w:val="207F7CDD"/>
    <w:rsid w:val="20D51287"/>
    <w:rsid w:val="21401F25"/>
    <w:rsid w:val="21783094"/>
    <w:rsid w:val="2280234E"/>
    <w:rsid w:val="22811041"/>
    <w:rsid w:val="22A93AEA"/>
    <w:rsid w:val="22C709EE"/>
    <w:rsid w:val="235D47D5"/>
    <w:rsid w:val="238A21F9"/>
    <w:rsid w:val="2497677C"/>
    <w:rsid w:val="24B473C2"/>
    <w:rsid w:val="24C11F5B"/>
    <w:rsid w:val="24E41216"/>
    <w:rsid w:val="25701184"/>
    <w:rsid w:val="2596559A"/>
    <w:rsid w:val="26336919"/>
    <w:rsid w:val="276E50C0"/>
    <w:rsid w:val="27B20F4E"/>
    <w:rsid w:val="27D86739"/>
    <w:rsid w:val="2877003E"/>
    <w:rsid w:val="29FB5951"/>
    <w:rsid w:val="2A01667B"/>
    <w:rsid w:val="2A0A5C85"/>
    <w:rsid w:val="2BB01381"/>
    <w:rsid w:val="2BB876EE"/>
    <w:rsid w:val="2BBA7079"/>
    <w:rsid w:val="2BE85FAF"/>
    <w:rsid w:val="2C9E029E"/>
    <w:rsid w:val="2CDF1B63"/>
    <w:rsid w:val="2E552D91"/>
    <w:rsid w:val="2E900A99"/>
    <w:rsid w:val="2E94389C"/>
    <w:rsid w:val="2F5C28E7"/>
    <w:rsid w:val="2FBD105F"/>
    <w:rsid w:val="301F4798"/>
    <w:rsid w:val="305D29ED"/>
    <w:rsid w:val="307A4C95"/>
    <w:rsid w:val="30A91F61"/>
    <w:rsid w:val="30D76D61"/>
    <w:rsid w:val="313908AB"/>
    <w:rsid w:val="32134DB6"/>
    <w:rsid w:val="324C2C78"/>
    <w:rsid w:val="32843DF1"/>
    <w:rsid w:val="32971799"/>
    <w:rsid w:val="3332198B"/>
    <w:rsid w:val="33A20D45"/>
    <w:rsid w:val="34F6771C"/>
    <w:rsid w:val="352B22CC"/>
    <w:rsid w:val="36E47F3A"/>
    <w:rsid w:val="36F30FAF"/>
    <w:rsid w:val="370B41DA"/>
    <w:rsid w:val="38786140"/>
    <w:rsid w:val="38833DC6"/>
    <w:rsid w:val="38B6008B"/>
    <w:rsid w:val="38DC04FB"/>
    <w:rsid w:val="393E42AF"/>
    <w:rsid w:val="39E11784"/>
    <w:rsid w:val="39F8074B"/>
    <w:rsid w:val="3A3377A1"/>
    <w:rsid w:val="3AE36337"/>
    <w:rsid w:val="3B6C3376"/>
    <w:rsid w:val="3C0F05AF"/>
    <w:rsid w:val="3D111FFE"/>
    <w:rsid w:val="3DAD7C37"/>
    <w:rsid w:val="3FB57611"/>
    <w:rsid w:val="40B808FD"/>
    <w:rsid w:val="417726FE"/>
    <w:rsid w:val="419F0436"/>
    <w:rsid w:val="424F0686"/>
    <w:rsid w:val="42F3544D"/>
    <w:rsid w:val="430F0ADF"/>
    <w:rsid w:val="43B63024"/>
    <w:rsid w:val="441719C0"/>
    <w:rsid w:val="445D28B8"/>
    <w:rsid w:val="451D48CB"/>
    <w:rsid w:val="45911348"/>
    <w:rsid w:val="45EE26F2"/>
    <w:rsid w:val="46744642"/>
    <w:rsid w:val="477517F0"/>
    <w:rsid w:val="4781306B"/>
    <w:rsid w:val="47F77BA0"/>
    <w:rsid w:val="48A86BB4"/>
    <w:rsid w:val="48C749F6"/>
    <w:rsid w:val="4B071360"/>
    <w:rsid w:val="4B853B5B"/>
    <w:rsid w:val="4C8F6909"/>
    <w:rsid w:val="4D903FFE"/>
    <w:rsid w:val="4DAC647D"/>
    <w:rsid w:val="4EEA095C"/>
    <w:rsid w:val="4F015240"/>
    <w:rsid w:val="4F921B1E"/>
    <w:rsid w:val="501E4BFD"/>
    <w:rsid w:val="509F0DE6"/>
    <w:rsid w:val="50BD4B06"/>
    <w:rsid w:val="519A3257"/>
    <w:rsid w:val="51E967F2"/>
    <w:rsid w:val="53370120"/>
    <w:rsid w:val="53CB4C69"/>
    <w:rsid w:val="54EB6BF3"/>
    <w:rsid w:val="553304D8"/>
    <w:rsid w:val="558F6907"/>
    <w:rsid w:val="578130E3"/>
    <w:rsid w:val="58244FA7"/>
    <w:rsid w:val="58A15BF6"/>
    <w:rsid w:val="59ED5C18"/>
    <w:rsid w:val="5A09705C"/>
    <w:rsid w:val="5A3A1A97"/>
    <w:rsid w:val="5AE26FDC"/>
    <w:rsid w:val="5AF07244"/>
    <w:rsid w:val="5B73188B"/>
    <w:rsid w:val="5BB60F12"/>
    <w:rsid w:val="5BF01B65"/>
    <w:rsid w:val="5C0C53B9"/>
    <w:rsid w:val="5CA5630A"/>
    <w:rsid w:val="5E765C46"/>
    <w:rsid w:val="5E782489"/>
    <w:rsid w:val="5E9F1F70"/>
    <w:rsid w:val="5EB91A19"/>
    <w:rsid w:val="5F3C6647"/>
    <w:rsid w:val="5FA23A48"/>
    <w:rsid w:val="5FC628D3"/>
    <w:rsid w:val="60F45FF3"/>
    <w:rsid w:val="617E0582"/>
    <w:rsid w:val="61CC2667"/>
    <w:rsid w:val="61D92A61"/>
    <w:rsid w:val="62190E43"/>
    <w:rsid w:val="62323BBF"/>
    <w:rsid w:val="626A408F"/>
    <w:rsid w:val="62C72479"/>
    <w:rsid w:val="62E62FCC"/>
    <w:rsid w:val="62F513AC"/>
    <w:rsid w:val="63626220"/>
    <w:rsid w:val="655B17D7"/>
    <w:rsid w:val="65E207B7"/>
    <w:rsid w:val="66EE1434"/>
    <w:rsid w:val="6709601B"/>
    <w:rsid w:val="679D6BDC"/>
    <w:rsid w:val="68864965"/>
    <w:rsid w:val="692F552A"/>
    <w:rsid w:val="697D2B04"/>
    <w:rsid w:val="6ADF4062"/>
    <w:rsid w:val="6AF1726A"/>
    <w:rsid w:val="6B5F7ED6"/>
    <w:rsid w:val="6C452E1A"/>
    <w:rsid w:val="6C4A1EAE"/>
    <w:rsid w:val="6D610FF4"/>
    <w:rsid w:val="6D7B44F7"/>
    <w:rsid w:val="6D8008FA"/>
    <w:rsid w:val="6D9D408C"/>
    <w:rsid w:val="6E235FB0"/>
    <w:rsid w:val="6E2E30E4"/>
    <w:rsid w:val="704354BE"/>
    <w:rsid w:val="70531ED5"/>
    <w:rsid w:val="70943FBF"/>
    <w:rsid w:val="70BA2611"/>
    <w:rsid w:val="719B0DF9"/>
    <w:rsid w:val="71E60A7F"/>
    <w:rsid w:val="71EB12DE"/>
    <w:rsid w:val="71F0647E"/>
    <w:rsid w:val="72E337B4"/>
    <w:rsid w:val="73023D3C"/>
    <w:rsid w:val="75216D85"/>
    <w:rsid w:val="755A7479"/>
    <w:rsid w:val="75BF2F3C"/>
    <w:rsid w:val="75C735CB"/>
    <w:rsid w:val="76D708CD"/>
    <w:rsid w:val="76DB583A"/>
    <w:rsid w:val="76FB62DA"/>
    <w:rsid w:val="7831493E"/>
    <w:rsid w:val="7833584D"/>
    <w:rsid w:val="783955CE"/>
    <w:rsid w:val="78D235BF"/>
    <w:rsid w:val="794F03AD"/>
    <w:rsid w:val="795B529B"/>
    <w:rsid w:val="79A149AA"/>
    <w:rsid w:val="7AD97E9C"/>
    <w:rsid w:val="7B9B0B33"/>
    <w:rsid w:val="7BCE68D6"/>
    <w:rsid w:val="7E9755DB"/>
    <w:rsid w:val="7ED657F3"/>
    <w:rsid w:val="7EFF756B"/>
    <w:rsid w:val="7F2D28C9"/>
    <w:rsid w:val="7F666C1F"/>
    <w:rsid w:val="7F872C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FF0000"/>
    </o:shapedefaults>
    <o:shapelayout v:ext="edit">
      <o:idmap v:ext="edit" data="1"/>
    </o:shapelayout>
  </w:shapeDefaults>
  <w14:defaultImageDpi w14:val="33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nhideWhenUsed="0" w:uiPriority="39" w:semiHidden="0" w:name="toc 3"/>
    <w:lsdException w:qFormat="1" w:unhideWhenUsed="0" w:uiPriority="0"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iPriority="99" w:semiHidden="0"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99"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nhideWhenUsed="0" w:uiPriority="0" w:semiHidden="0"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qFormat="1" w:unhideWhenUsed="0" w:uiPriority="99" w:semiHidden="0" w:name="Body Text First Indent 2"/>
    <w:lsdException w:qFormat="1" w:unhideWhenUsed="0" w:uiPriority="99"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lang w:val="en-US" w:eastAsia="zh-CN" w:bidi="ar-SA"/>
    </w:rPr>
  </w:style>
  <w:style w:type="paragraph" w:styleId="3">
    <w:name w:val="heading 1"/>
    <w:basedOn w:val="1"/>
    <w:next w:val="1"/>
    <w:link w:val="48"/>
    <w:qFormat/>
    <w:uiPriority w:val="9"/>
    <w:pPr>
      <w:keepNext/>
      <w:keepLines/>
      <w:spacing w:before="340" w:after="330" w:line="578" w:lineRule="auto"/>
      <w:outlineLvl w:val="0"/>
    </w:pPr>
    <w:rPr>
      <w:rFonts w:ascii="Calibri" w:hAnsi="Calibri"/>
      <w:b/>
      <w:bCs/>
      <w:kern w:val="44"/>
      <w:sz w:val="44"/>
      <w:szCs w:val="44"/>
    </w:rPr>
  </w:style>
  <w:style w:type="paragraph" w:styleId="4">
    <w:name w:val="heading 2"/>
    <w:basedOn w:val="1"/>
    <w:next w:val="1"/>
    <w:link w:val="49"/>
    <w:qFormat/>
    <w:uiPriority w:val="9"/>
    <w:pPr>
      <w:keepNext/>
      <w:keepLines/>
      <w:spacing w:before="260" w:after="260" w:line="416" w:lineRule="auto"/>
      <w:outlineLvl w:val="1"/>
    </w:pPr>
    <w:rPr>
      <w:rFonts w:ascii="Cambria" w:hAnsi="Cambria"/>
      <w:b/>
      <w:bCs/>
      <w:sz w:val="32"/>
      <w:szCs w:val="32"/>
    </w:rPr>
  </w:style>
  <w:style w:type="paragraph" w:styleId="5">
    <w:name w:val="heading 3"/>
    <w:basedOn w:val="1"/>
    <w:next w:val="1"/>
    <w:link w:val="50"/>
    <w:qFormat/>
    <w:uiPriority w:val="9"/>
    <w:pPr>
      <w:keepNext/>
      <w:keepLines/>
      <w:spacing w:before="260" w:after="260" w:line="416" w:lineRule="auto"/>
      <w:outlineLvl w:val="2"/>
    </w:pPr>
    <w:rPr>
      <w:rFonts w:ascii="Calibri" w:hAnsi="Calibri"/>
      <w:b/>
      <w:bCs/>
      <w:sz w:val="32"/>
      <w:szCs w:val="32"/>
    </w:rPr>
  </w:style>
  <w:style w:type="paragraph" w:styleId="6">
    <w:name w:val="heading 4"/>
    <w:basedOn w:val="1"/>
    <w:next w:val="1"/>
    <w:link w:val="51"/>
    <w:qFormat/>
    <w:uiPriority w:val="9"/>
    <w:pPr>
      <w:keepNext/>
      <w:keepLines/>
      <w:spacing w:before="280" w:after="290" w:line="376" w:lineRule="auto"/>
      <w:outlineLvl w:val="3"/>
    </w:pPr>
    <w:rPr>
      <w:rFonts w:ascii="Cambria" w:hAnsi="Cambria"/>
      <w:b/>
      <w:bCs/>
      <w:sz w:val="28"/>
      <w:szCs w:val="28"/>
    </w:rPr>
  </w:style>
  <w:style w:type="paragraph" w:styleId="7">
    <w:name w:val="heading 5"/>
    <w:basedOn w:val="1"/>
    <w:next w:val="1"/>
    <w:link w:val="52"/>
    <w:qFormat/>
    <w:uiPriority w:val="9"/>
    <w:pPr>
      <w:keepNext/>
      <w:keepLines/>
      <w:spacing w:before="280" w:after="290" w:line="376" w:lineRule="auto"/>
      <w:outlineLvl w:val="4"/>
    </w:pPr>
    <w:rPr>
      <w:b/>
      <w:bCs/>
      <w:sz w:val="28"/>
      <w:szCs w:val="28"/>
    </w:rPr>
  </w:style>
  <w:style w:type="paragraph" w:styleId="8">
    <w:name w:val="heading 6"/>
    <w:basedOn w:val="1"/>
    <w:next w:val="1"/>
    <w:link w:val="53"/>
    <w:qFormat/>
    <w:uiPriority w:val="9"/>
    <w:pPr>
      <w:keepNext/>
      <w:keepLines/>
      <w:spacing w:before="240" w:after="64" w:line="320" w:lineRule="auto"/>
      <w:outlineLvl w:val="5"/>
    </w:pPr>
    <w:rPr>
      <w:rFonts w:ascii="Calibri Light" w:hAnsi="Calibri Light"/>
      <w:b/>
      <w:bCs/>
      <w:sz w:val="24"/>
      <w:szCs w:val="24"/>
    </w:rPr>
  </w:style>
  <w:style w:type="paragraph" w:styleId="9">
    <w:name w:val="heading 7"/>
    <w:basedOn w:val="1"/>
    <w:next w:val="1"/>
    <w:link w:val="54"/>
    <w:qFormat/>
    <w:uiPriority w:val="9"/>
    <w:pPr>
      <w:keepNext/>
      <w:keepLines/>
      <w:spacing w:before="240" w:after="64" w:line="320" w:lineRule="auto"/>
      <w:ind w:left="1296" w:hanging="1296" w:firstLineChars="200"/>
      <w:outlineLvl w:val="6"/>
    </w:pPr>
    <w:rPr>
      <w:b/>
      <w:bCs/>
      <w:sz w:val="24"/>
      <w:szCs w:val="24"/>
    </w:rPr>
  </w:style>
  <w:style w:type="paragraph" w:styleId="10">
    <w:name w:val="heading 8"/>
    <w:basedOn w:val="1"/>
    <w:next w:val="1"/>
    <w:link w:val="55"/>
    <w:qFormat/>
    <w:uiPriority w:val="9"/>
    <w:pPr>
      <w:keepNext/>
      <w:keepLines/>
      <w:spacing w:before="240" w:after="64" w:line="320" w:lineRule="auto"/>
      <w:outlineLvl w:val="7"/>
    </w:pPr>
    <w:rPr>
      <w:rFonts w:ascii="Calibri Light" w:hAnsi="Calibri Light"/>
      <w:sz w:val="24"/>
      <w:szCs w:val="24"/>
    </w:rPr>
  </w:style>
  <w:style w:type="paragraph" w:styleId="11">
    <w:name w:val="heading 9"/>
    <w:basedOn w:val="1"/>
    <w:next w:val="1"/>
    <w:link w:val="56"/>
    <w:qFormat/>
    <w:uiPriority w:val="0"/>
    <w:pPr>
      <w:keepNext/>
      <w:keepLines/>
      <w:spacing w:before="240" w:after="64" w:line="320" w:lineRule="auto"/>
      <w:outlineLvl w:val="8"/>
    </w:pPr>
    <w:rPr>
      <w:rFonts w:ascii="Cambria" w:hAnsi="Cambria"/>
      <w:szCs w:val="21"/>
    </w:rPr>
  </w:style>
  <w:style w:type="character" w:default="1" w:styleId="39">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47"/>
    <w:qFormat/>
    <w:uiPriority w:val="0"/>
    <w:rPr>
      <w:rFonts w:ascii="宋体" w:hAnsi="Courier New"/>
    </w:rPr>
  </w:style>
  <w:style w:type="paragraph" w:styleId="12">
    <w:name w:val="Note Heading"/>
    <w:basedOn w:val="1"/>
    <w:next w:val="1"/>
    <w:link w:val="58"/>
    <w:qFormat/>
    <w:uiPriority w:val="99"/>
    <w:pPr>
      <w:spacing w:line="360" w:lineRule="auto"/>
      <w:ind w:firstLine="200" w:firstLineChars="200"/>
      <w:jc w:val="center"/>
    </w:pPr>
    <w:rPr>
      <w:rFonts w:eastAsia="仿宋_GB2312"/>
      <w:sz w:val="24"/>
      <w:szCs w:val="24"/>
    </w:rPr>
  </w:style>
  <w:style w:type="paragraph" w:styleId="13">
    <w:name w:val="Normal Indent"/>
    <w:basedOn w:val="1"/>
    <w:link w:val="59"/>
    <w:qFormat/>
    <w:uiPriority w:val="0"/>
    <w:pPr>
      <w:spacing w:line="360" w:lineRule="auto"/>
      <w:ind w:left="480" w:leftChars="-100" w:right="-100" w:rightChars="-100" w:firstLine="420"/>
    </w:pPr>
    <w:rPr>
      <w:rFonts w:ascii="宋体"/>
      <w:sz w:val="24"/>
      <w:szCs w:val="18"/>
    </w:rPr>
  </w:style>
  <w:style w:type="paragraph" w:styleId="14">
    <w:name w:val="caption"/>
    <w:basedOn w:val="1"/>
    <w:next w:val="1"/>
    <w:qFormat/>
    <w:uiPriority w:val="0"/>
    <w:rPr>
      <w:rFonts w:ascii="Arial" w:hAnsi="Arial" w:eastAsia="黑体" w:cs="Arial"/>
    </w:rPr>
  </w:style>
  <w:style w:type="paragraph" w:styleId="15">
    <w:name w:val="Document Map"/>
    <w:basedOn w:val="1"/>
    <w:link w:val="60"/>
    <w:unhideWhenUsed/>
    <w:qFormat/>
    <w:uiPriority w:val="0"/>
    <w:rPr>
      <w:rFonts w:ascii="宋体"/>
      <w:sz w:val="18"/>
      <w:szCs w:val="18"/>
    </w:rPr>
  </w:style>
  <w:style w:type="paragraph" w:styleId="16">
    <w:name w:val="annotation text"/>
    <w:basedOn w:val="1"/>
    <w:link w:val="61"/>
    <w:unhideWhenUsed/>
    <w:qFormat/>
    <w:uiPriority w:val="0"/>
    <w:pPr>
      <w:jc w:val="left"/>
    </w:pPr>
  </w:style>
  <w:style w:type="paragraph" w:styleId="17">
    <w:name w:val="Body Text 3"/>
    <w:basedOn w:val="1"/>
    <w:qFormat/>
    <w:uiPriority w:val="0"/>
    <w:pPr>
      <w:spacing w:line="360" w:lineRule="auto"/>
    </w:pPr>
    <w:rPr>
      <w:spacing w:val="-12"/>
      <w:kern w:val="0"/>
      <w:sz w:val="24"/>
    </w:rPr>
  </w:style>
  <w:style w:type="paragraph" w:styleId="18">
    <w:name w:val="Body Text"/>
    <w:basedOn w:val="1"/>
    <w:link w:val="62"/>
    <w:qFormat/>
    <w:uiPriority w:val="1"/>
    <w:pPr>
      <w:spacing w:after="120"/>
    </w:pPr>
    <w:rPr>
      <w:szCs w:val="24"/>
    </w:rPr>
  </w:style>
  <w:style w:type="paragraph" w:styleId="19">
    <w:name w:val="Body Text Indent"/>
    <w:basedOn w:val="1"/>
    <w:link w:val="63"/>
    <w:unhideWhenUsed/>
    <w:qFormat/>
    <w:uiPriority w:val="0"/>
    <w:pPr>
      <w:spacing w:after="120"/>
      <w:ind w:left="420" w:leftChars="200"/>
    </w:pPr>
  </w:style>
  <w:style w:type="paragraph" w:styleId="20">
    <w:name w:val="List 2"/>
    <w:basedOn w:val="1"/>
    <w:qFormat/>
    <w:uiPriority w:val="99"/>
    <w:pPr>
      <w:spacing w:line="360" w:lineRule="auto"/>
      <w:ind w:left="100" w:leftChars="200" w:hanging="200" w:hangingChars="200"/>
    </w:pPr>
    <w:rPr>
      <w:sz w:val="28"/>
      <w:szCs w:val="24"/>
    </w:rPr>
  </w:style>
  <w:style w:type="paragraph" w:styleId="21">
    <w:name w:val="toc 3"/>
    <w:basedOn w:val="1"/>
    <w:next w:val="1"/>
    <w:uiPriority w:val="39"/>
    <w:pPr>
      <w:ind w:left="420"/>
      <w:jc w:val="left"/>
    </w:pPr>
    <w:rPr>
      <w:i/>
      <w:iCs/>
      <w:sz w:val="20"/>
    </w:rPr>
  </w:style>
  <w:style w:type="paragraph" w:styleId="22">
    <w:name w:val="List Bullet 5"/>
    <w:basedOn w:val="1"/>
    <w:qFormat/>
    <w:uiPriority w:val="0"/>
    <w:pPr>
      <w:tabs>
        <w:tab w:val="left" w:pos="2040"/>
      </w:tabs>
      <w:jc w:val="left"/>
    </w:pPr>
    <w:rPr>
      <w:rFonts w:eastAsia="Calibri"/>
      <w:sz w:val="22"/>
      <w:szCs w:val="22"/>
      <w:lang w:eastAsia="en-US"/>
    </w:rPr>
  </w:style>
  <w:style w:type="paragraph" w:styleId="23">
    <w:name w:val="Date"/>
    <w:basedOn w:val="1"/>
    <w:next w:val="1"/>
    <w:link w:val="67"/>
    <w:unhideWhenUsed/>
    <w:qFormat/>
    <w:uiPriority w:val="0"/>
    <w:pPr>
      <w:ind w:left="100" w:leftChars="2500"/>
    </w:pPr>
  </w:style>
  <w:style w:type="paragraph" w:styleId="24">
    <w:name w:val="Body Text Indent 2"/>
    <w:basedOn w:val="1"/>
    <w:link w:val="68"/>
    <w:qFormat/>
    <w:uiPriority w:val="0"/>
    <w:pPr>
      <w:spacing w:after="120" w:line="480" w:lineRule="auto"/>
      <w:ind w:left="420" w:leftChars="200"/>
    </w:pPr>
    <w:rPr>
      <w:szCs w:val="24"/>
    </w:rPr>
  </w:style>
  <w:style w:type="paragraph" w:styleId="25">
    <w:name w:val="Balloon Text"/>
    <w:basedOn w:val="1"/>
    <w:link w:val="69"/>
    <w:unhideWhenUsed/>
    <w:qFormat/>
    <w:uiPriority w:val="0"/>
    <w:rPr>
      <w:sz w:val="18"/>
      <w:szCs w:val="18"/>
    </w:rPr>
  </w:style>
  <w:style w:type="paragraph" w:styleId="26">
    <w:name w:val="footer"/>
    <w:basedOn w:val="1"/>
    <w:link w:val="70"/>
    <w:unhideWhenUsed/>
    <w:qFormat/>
    <w:uiPriority w:val="99"/>
    <w:pPr>
      <w:tabs>
        <w:tab w:val="center" w:pos="4153"/>
        <w:tab w:val="right" w:pos="8306"/>
      </w:tabs>
      <w:snapToGrid w:val="0"/>
      <w:jc w:val="left"/>
    </w:pPr>
    <w:rPr>
      <w:sz w:val="18"/>
      <w:szCs w:val="18"/>
    </w:rPr>
  </w:style>
  <w:style w:type="paragraph" w:styleId="27">
    <w:name w:val="header"/>
    <w:basedOn w:val="1"/>
    <w:link w:val="71"/>
    <w:unhideWhenUsed/>
    <w:qFormat/>
    <w:uiPriority w:val="99"/>
    <w:pPr>
      <w:pBdr>
        <w:bottom w:val="single" w:color="auto" w:sz="6" w:space="1"/>
      </w:pBdr>
      <w:tabs>
        <w:tab w:val="center" w:pos="4153"/>
        <w:tab w:val="right" w:pos="8306"/>
      </w:tabs>
      <w:snapToGrid w:val="0"/>
      <w:jc w:val="center"/>
    </w:pPr>
    <w:rPr>
      <w:sz w:val="18"/>
      <w:szCs w:val="18"/>
    </w:rPr>
  </w:style>
  <w:style w:type="paragraph" w:styleId="28">
    <w:name w:val="toc 1"/>
    <w:basedOn w:val="1"/>
    <w:next w:val="1"/>
    <w:unhideWhenUsed/>
    <w:qFormat/>
    <w:uiPriority w:val="39"/>
  </w:style>
  <w:style w:type="paragraph" w:styleId="29">
    <w:name w:val="footnote text"/>
    <w:basedOn w:val="1"/>
    <w:link w:val="74"/>
    <w:unhideWhenUsed/>
    <w:qFormat/>
    <w:uiPriority w:val="99"/>
    <w:pPr>
      <w:snapToGrid w:val="0"/>
      <w:jc w:val="left"/>
    </w:pPr>
    <w:rPr>
      <w:sz w:val="18"/>
      <w:szCs w:val="18"/>
    </w:rPr>
  </w:style>
  <w:style w:type="paragraph" w:styleId="30">
    <w:name w:val="toc 2"/>
    <w:basedOn w:val="1"/>
    <w:next w:val="1"/>
    <w:unhideWhenUsed/>
    <w:qFormat/>
    <w:uiPriority w:val="39"/>
    <w:pPr>
      <w:ind w:left="420" w:leftChars="200"/>
    </w:pPr>
  </w:style>
  <w:style w:type="paragraph" w:styleId="31">
    <w:name w:val="Body Text 2"/>
    <w:basedOn w:val="1"/>
    <w:link w:val="78"/>
    <w:qFormat/>
    <w:uiPriority w:val="0"/>
    <w:pPr>
      <w:widowControl/>
      <w:jc w:val="center"/>
    </w:pPr>
    <w:rPr>
      <w:rFonts w:ascii="楷体_GB2312" w:eastAsia="楷体_GB2312"/>
      <w:w w:val="80"/>
      <w:sz w:val="24"/>
    </w:rPr>
  </w:style>
  <w:style w:type="paragraph" w:styleId="32">
    <w:name w:val="Normal (Web)"/>
    <w:basedOn w:val="1"/>
    <w:qFormat/>
    <w:uiPriority w:val="99"/>
    <w:pPr>
      <w:widowControl/>
      <w:spacing w:before="100" w:beforeAutospacing="1" w:after="100" w:afterAutospacing="1"/>
      <w:jc w:val="left"/>
    </w:pPr>
    <w:rPr>
      <w:rFonts w:ascii="宋体" w:hAnsi="宋体" w:cs="宋体"/>
      <w:sz w:val="24"/>
      <w:szCs w:val="24"/>
    </w:rPr>
  </w:style>
  <w:style w:type="paragraph" w:styleId="33">
    <w:name w:val="Title"/>
    <w:basedOn w:val="1"/>
    <w:next w:val="1"/>
    <w:link w:val="79"/>
    <w:qFormat/>
    <w:uiPriority w:val="10"/>
    <w:pPr>
      <w:spacing w:before="240" w:after="60"/>
      <w:jc w:val="center"/>
      <w:outlineLvl w:val="0"/>
    </w:pPr>
    <w:rPr>
      <w:rFonts w:ascii="Calibri Light" w:hAnsi="Calibri Light"/>
      <w:b/>
      <w:bCs/>
      <w:sz w:val="32"/>
      <w:szCs w:val="32"/>
    </w:rPr>
  </w:style>
  <w:style w:type="paragraph" w:styleId="34">
    <w:name w:val="annotation subject"/>
    <w:basedOn w:val="16"/>
    <w:next w:val="16"/>
    <w:link w:val="80"/>
    <w:qFormat/>
    <w:uiPriority w:val="0"/>
    <w:rPr>
      <w:b/>
      <w:bCs/>
      <w:szCs w:val="24"/>
    </w:rPr>
  </w:style>
  <w:style w:type="paragraph" w:styleId="35">
    <w:name w:val="Body Text First Indent 2"/>
    <w:basedOn w:val="6"/>
    <w:link w:val="293"/>
    <w:qFormat/>
    <w:uiPriority w:val="99"/>
    <w:pPr>
      <w:ind w:firstLine="420" w:firstLineChars="200"/>
    </w:pPr>
    <w:rPr>
      <w:rFonts w:ascii="Times New Roman" w:hAnsi="Times New Roman"/>
      <w:sz w:val="20"/>
      <w:szCs w:val="24"/>
    </w:rPr>
  </w:style>
  <w:style w:type="table" w:styleId="37">
    <w:name w:val="Table Grid"/>
    <w:basedOn w:val="36"/>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38">
    <w:name w:val="Table Grid 5"/>
    <w:basedOn w:val="36"/>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40">
    <w:name w:val="Strong"/>
    <w:qFormat/>
    <w:uiPriority w:val="0"/>
    <w:rPr>
      <w:b/>
    </w:rPr>
  </w:style>
  <w:style w:type="character" w:styleId="41">
    <w:name w:val="page number"/>
    <w:qFormat/>
    <w:uiPriority w:val="0"/>
  </w:style>
  <w:style w:type="character" w:styleId="42">
    <w:name w:val="FollowedHyperlink"/>
    <w:unhideWhenUsed/>
    <w:qFormat/>
    <w:uiPriority w:val="0"/>
    <w:rPr>
      <w:color w:val="800080"/>
      <w:u w:val="single"/>
    </w:rPr>
  </w:style>
  <w:style w:type="character" w:styleId="43">
    <w:name w:val="Emphasis"/>
    <w:qFormat/>
    <w:uiPriority w:val="0"/>
    <w:rPr>
      <w:i/>
      <w:iCs/>
    </w:rPr>
  </w:style>
  <w:style w:type="character" w:styleId="44">
    <w:name w:val="Hyperlink"/>
    <w:unhideWhenUsed/>
    <w:qFormat/>
    <w:uiPriority w:val="99"/>
    <w:rPr>
      <w:color w:val="0000FF"/>
      <w:u w:val="single"/>
    </w:rPr>
  </w:style>
  <w:style w:type="character" w:styleId="45">
    <w:name w:val="annotation reference"/>
    <w:qFormat/>
    <w:uiPriority w:val="0"/>
    <w:rPr>
      <w:sz w:val="21"/>
      <w:szCs w:val="21"/>
    </w:rPr>
  </w:style>
  <w:style w:type="character" w:styleId="46">
    <w:name w:val="footnote reference"/>
    <w:unhideWhenUsed/>
    <w:qFormat/>
    <w:uiPriority w:val="99"/>
    <w:rPr>
      <w:vertAlign w:val="superscript"/>
    </w:rPr>
  </w:style>
  <w:style w:type="character" w:customStyle="1" w:styleId="47">
    <w:name w:val="纯文本 字符1"/>
    <w:link w:val="2"/>
    <w:qFormat/>
    <w:uiPriority w:val="99"/>
    <w:rPr>
      <w:rFonts w:ascii="宋体" w:hAnsi="Courier New" w:eastAsia="宋体" w:cs="Times New Roman"/>
      <w:kern w:val="0"/>
      <w:sz w:val="20"/>
      <w:szCs w:val="20"/>
    </w:rPr>
  </w:style>
  <w:style w:type="character" w:customStyle="1" w:styleId="48">
    <w:name w:val="标题 1 字符"/>
    <w:link w:val="3"/>
    <w:qFormat/>
    <w:uiPriority w:val="9"/>
    <w:rPr>
      <w:rFonts w:ascii="Calibri" w:hAnsi="Calibri" w:eastAsia="宋体" w:cs="Times New Roman"/>
      <w:b/>
      <w:bCs/>
      <w:kern w:val="44"/>
      <w:sz w:val="44"/>
      <w:szCs w:val="44"/>
    </w:rPr>
  </w:style>
  <w:style w:type="character" w:customStyle="1" w:styleId="49">
    <w:name w:val="标题 2 字符1"/>
    <w:link w:val="4"/>
    <w:qFormat/>
    <w:uiPriority w:val="1"/>
    <w:rPr>
      <w:rFonts w:ascii="Cambria" w:hAnsi="Cambria" w:eastAsia="宋体" w:cs="Times New Roman"/>
      <w:b/>
      <w:bCs/>
      <w:sz w:val="32"/>
      <w:szCs w:val="32"/>
    </w:rPr>
  </w:style>
  <w:style w:type="character" w:customStyle="1" w:styleId="50">
    <w:name w:val="标题 3 字符1"/>
    <w:link w:val="5"/>
    <w:qFormat/>
    <w:uiPriority w:val="1"/>
    <w:rPr>
      <w:rFonts w:ascii="Calibri" w:hAnsi="Calibri" w:eastAsia="宋体" w:cs="Times New Roman"/>
      <w:b/>
      <w:bCs/>
      <w:sz w:val="32"/>
      <w:szCs w:val="32"/>
    </w:rPr>
  </w:style>
  <w:style w:type="character" w:customStyle="1" w:styleId="51">
    <w:name w:val="标题 4 字符"/>
    <w:link w:val="6"/>
    <w:qFormat/>
    <w:uiPriority w:val="1"/>
    <w:rPr>
      <w:rFonts w:ascii="Cambria" w:hAnsi="Cambria" w:eastAsia="宋体" w:cs="Times New Roman"/>
      <w:b/>
      <w:bCs/>
      <w:sz w:val="28"/>
      <w:szCs w:val="28"/>
    </w:rPr>
  </w:style>
  <w:style w:type="character" w:customStyle="1" w:styleId="52">
    <w:name w:val="标题 5 字符"/>
    <w:link w:val="7"/>
    <w:qFormat/>
    <w:uiPriority w:val="9"/>
    <w:rPr>
      <w:rFonts w:ascii="Times New Roman" w:hAnsi="Times New Roman"/>
      <w:b/>
      <w:bCs/>
      <w:sz w:val="28"/>
      <w:szCs w:val="28"/>
    </w:rPr>
  </w:style>
  <w:style w:type="character" w:customStyle="1" w:styleId="53">
    <w:name w:val="标题 6 字符"/>
    <w:link w:val="8"/>
    <w:qFormat/>
    <w:uiPriority w:val="9"/>
    <w:rPr>
      <w:rFonts w:ascii="Calibri Light" w:hAnsi="Calibri Light"/>
      <w:b/>
      <w:bCs/>
      <w:kern w:val="2"/>
      <w:sz w:val="24"/>
      <w:szCs w:val="24"/>
    </w:rPr>
  </w:style>
  <w:style w:type="character" w:customStyle="1" w:styleId="54">
    <w:name w:val="标题 7 字符"/>
    <w:link w:val="9"/>
    <w:qFormat/>
    <w:uiPriority w:val="9"/>
    <w:rPr>
      <w:b/>
      <w:bCs/>
      <w:sz w:val="24"/>
      <w:szCs w:val="24"/>
    </w:rPr>
  </w:style>
  <w:style w:type="character" w:customStyle="1" w:styleId="55">
    <w:name w:val="标题 8 字符"/>
    <w:link w:val="10"/>
    <w:semiHidden/>
    <w:qFormat/>
    <w:uiPriority w:val="9"/>
    <w:rPr>
      <w:rFonts w:ascii="Calibri Light" w:hAnsi="Calibri Light"/>
      <w:kern w:val="2"/>
      <w:sz w:val="24"/>
      <w:szCs w:val="24"/>
    </w:rPr>
  </w:style>
  <w:style w:type="character" w:customStyle="1" w:styleId="56">
    <w:name w:val="标题 9 字符"/>
    <w:link w:val="11"/>
    <w:qFormat/>
    <w:uiPriority w:val="0"/>
    <w:rPr>
      <w:rFonts w:ascii="Cambria" w:hAnsi="Cambria"/>
      <w:kern w:val="2"/>
      <w:sz w:val="21"/>
      <w:szCs w:val="21"/>
    </w:rPr>
  </w:style>
  <w:style w:type="paragraph" w:customStyle="1" w:styleId="57">
    <w:name w:val="目录 71"/>
    <w:basedOn w:val="1"/>
    <w:next w:val="1"/>
    <w:qFormat/>
    <w:uiPriority w:val="39"/>
    <w:pPr>
      <w:ind w:left="1260"/>
      <w:jc w:val="left"/>
    </w:pPr>
    <w:rPr>
      <w:sz w:val="18"/>
      <w:szCs w:val="18"/>
    </w:rPr>
  </w:style>
  <w:style w:type="character" w:customStyle="1" w:styleId="58">
    <w:name w:val="注释标题 字符"/>
    <w:link w:val="12"/>
    <w:qFormat/>
    <w:uiPriority w:val="99"/>
    <w:rPr>
      <w:rFonts w:ascii="Times New Roman" w:hAnsi="Times New Roman" w:eastAsia="仿宋_GB2312"/>
      <w:sz w:val="24"/>
      <w:szCs w:val="24"/>
    </w:rPr>
  </w:style>
  <w:style w:type="character" w:customStyle="1" w:styleId="59">
    <w:name w:val="正文缩进 字符"/>
    <w:link w:val="13"/>
    <w:qFormat/>
    <w:uiPriority w:val="0"/>
    <w:rPr>
      <w:rFonts w:ascii="宋体" w:hAnsi="Times New Roman"/>
      <w:sz w:val="24"/>
      <w:szCs w:val="18"/>
    </w:rPr>
  </w:style>
  <w:style w:type="character" w:customStyle="1" w:styleId="60">
    <w:name w:val="文档结构图 字符"/>
    <w:link w:val="15"/>
    <w:qFormat/>
    <w:uiPriority w:val="0"/>
    <w:rPr>
      <w:rFonts w:ascii="宋体" w:eastAsia="宋体"/>
      <w:sz w:val="18"/>
      <w:szCs w:val="18"/>
    </w:rPr>
  </w:style>
  <w:style w:type="character" w:customStyle="1" w:styleId="61">
    <w:name w:val="批注文字 字符"/>
    <w:link w:val="16"/>
    <w:semiHidden/>
    <w:qFormat/>
    <w:uiPriority w:val="99"/>
    <w:rPr>
      <w:kern w:val="2"/>
      <w:sz w:val="21"/>
      <w:szCs w:val="22"/>
    </w:rPr>
  </w:style>
  <w:style w:type="character" w:customStyle="1" w:styleId="62">
    <w:name w:val="正文文本 字符"/>
    <w:link w:val="18"/>
    <w:qFormat/>
    <w:uiPriority w:val="1"/>
    <w:rPr>
      <w:kern w:val="2"/>
      <w:sz w:val="21"/>
      <w:szCs w:val="24"/>
    </w:rPr>
  </w:style>
  <w:style w:type="character" w:customStyle="1" w:styleId="63">
    <w:name w:val="正文文本缩进 字符"/>
    <w:link w:val="19"/>
    <w:qFormat/>
    <w:uiPriority w:val="0"/>
  </w:style>
  <w:style w:type="paragraph" w:customStyle="1" w:styleId="64">
    <w:name w:val="目录 51"/>
    <w:basedOn w:val="1"/>
    <w:next w:val="1"/>
    <w:qFormat/>
    <w:uiPriority w:val="39"/>
    <w:pPr>
      <w:ind w:left="840"/>
      <w:jc w:val="left"/>
    </w:pPr>
    <w:rPr>
      <w:sz w:val="18"/>
      <w:szCs w:val="18"/>
    </w:rPr>
  </w:style>
  <w:style w:type="paragraph" w:customStyle="1" w:styleId="65">
    <w:name w:val="目录 31"/>
    <w:basedOn w:val="1"/>
    <w:next w:val="1"/>
    <w:qFormat/>
    <w:uiPriority w:val="0"/>
    <w:pPr>
      <w:ind w:left="420"/>
      <w:jc w:val="left"/>
    </w:pPr>
    <w:rPr>
      <w:i/>
      <w:iCs/>
    </w:rPr>
  </w:style>
  <w:style w:type="paragraph" w:customStyle="1" w:styleId="66">
    <w:name w:val="目录 81"/>
    <w:basedOn w:val="1"/>
    <w:next w:val="1"/>
    <w:qFormat/>
    <w:uiPriority w:val="39"/>
    <w:pPr>
      <w:ind w:left="1470"/>
      <w:jc w:val="left"/>
    </w:pPr>
    <w:rPr>
      <w:sz w:val="18"/>
      <w:szCs w:val="18"/>
    </w:rPr>
  </w:style>
  <w:style w:type="character" w:customStyle="1" w:styleId="67">
    <w:name w:val="日期 字符"/>
    <w:link w:val="23"/>
    <w:qFormat/>
    <w:uiPriority w:val="0"/>
    <w:rPr>
      <w:kern w:val="2"/>
      <w:sz w:val="21"/>
      <w:szCs w:val="22"/>
    </w:rPr>
  </w:style>
  <w:style w:type="character" w:customStyle="1" w:styleId="68">
    <w:name w:val="正文文本缩进 2 字符"/>
    <w:link w:val="24"/>
    <w:qFormat/>
    <w:uiPriority w:val="0"/>
    <w:rPr>
      <w:rFonts w:ascii="Times New Roman" w:hAnsi="Times New Roman"/>
      <w:kern w:val="2"/>
      <w:sz w:val="21"/>
      <w:szCs w:val="24"/>
    </w:rPr>
  </w:style>
  <w:style w:type="character" w:customStyle="1" w:styleId="69">
    <w:name w:val="批注框文本 字符"/>
    <w:link w:val="25"/>
    <w:qFormat/>
    <w:uiPriority w:val="0"/>
    <w:rPr>
      <w:sz w:val="18"/>
      <w:szCs w:val="18"/>
    </w:rPr>
  </w:style>
  <w:style w:type="character" w:customStyle="1" w:styleId="70">
    <w:name w:val="页脚 字符"/>
    <w:link w:val="26"/>
    <w:qFormat/>
    <w:uiPriority w:val="0"/>
    <w:rPr>
      <w:sz w:val="18"/>
      <w:szCs w:val="18"/>
    </w:rPr>
  </w:style>
  <w:style w:type="character" w:customStyle="1" w:styleId="71">
    <w:name w:val="页眉 字符1"/>
    <w:link w:val="27"/>
    <w:qFormat/>
    <w:uiPriority w:val="99"/>
    <w:rPr>
      <w:sz w:val="18"/>
      <w:szCs w:val="18"/>
    </w:rPr>
  </w:style>
  <w:style w:type="paragraph" w:customStyle="1" w:styleId="72">
    <w:name w:val="目录 11"/>
    <w:basedOn w:val="1"/>
    <w:next w:val="1"/>
    <w:unhideWhenUsed/>
    <w:qFormat/>
    <w:uiPriority w:val="39"/>
  </w:style>
  <w:style w:type="paragraph" w:customStyle="1" w:styleId="73">
    <w:name w:val="目录 41"/>
    <w:basedOn w:val="1"/>
    <w:next w:val="1"/>
    <w:qFormat/>
    <w:uiPriority w:val="0"/>
    <w:pPr>
      <w:ind w:left="630"/>
      <w:jc w:val="left"/>
    </w:pPr>
    <w:rPr>
      <w:sz w:val="18"/>
      <w:szCs w:val="18"/>
    </w:rPr>
  </w:style>
  <w:style w:type="character" w:customStyle="1" w:styleId="74">
    <w:name w:val="脚注文本 字符"/>
    <w:link w:val="29"/>
    <w:semiHidden/>
    <w:qFormat/>
    <w:uiPriority w:val="99"/>
    <w:rPr>
      <w:kern w:val="2"/>
      <w:sz w:val="18"/>
      <w:szCs w:val="18"/>
    </w:rPr>
  </w:style>
  <w:style w:type="paragraph" w:customStyle="1" w:styleId="75">
    <w:name w:val="目录 61"/>
    <w:basedOn w:val="1"/>
    <w:next w:val="1"/>
    <w:qFormat/>
    <w:uiPriority w:val="39"/>
    <w:pPr>
      <w:ind w:left="1050"/>
      <w:jc w:val="left"/>
    </w:pPr>
    <w:rPr>
      <w:sz w:val="18"/>
      <w:szCs w:val="18"/>
    </w:rPr>
  </w:style>
  <w:style w:type="paragraph" w:customStyle="1" w:styleId="76">
    <w:name w:val="目录 21"/>
    <w:basedOn w:val="1"/>
    <w:next w:val="1"/>
    <w:unhideWhenUsed/>
    <w:qFormat/>
    <w:uiPriority w:val="39"/>
    <w:pPr>
      <w:ind w:left="420" w:leftChars="200"/>
    </w:pPr>
  </w:style>
  <w:style w:type="paragraph" w:customStyle="1" w:styleId="77">
    <w:name w:val="目录 91"/>
    <w:basedOn w:val="1"/>
    <w:next w:val="1"/>
    <w:qFormat/>
    <w:uiPriority w:val="39"/>
    <w:pPr>
      <w:ind w:left="1680"/>
      <w:jc w:val="left"/>
    </w:pPr>
    <w:rPr>
      <w:sz w:val="18"/>
      <w:szCs w:val="18"/>
    </w:rPr>
  </w:style>
  <w:style w:type="character" w:customStyle="1" w:styleId="78">
    <w:name w:val="正文文本 2 字符"/>
    <w:link w:val="31"/>
    <w:qFormat/>
    <w:uiPriority w:val="0"/>
    <w:rPr>
      <w:rFonts w:ascii="楷体_GB2312" w:hAnsi="Times New Roman" w:eastAsia="楷体_GB2312"/>
      <w:w w:val="80"/>
      <w:kern w:val="2"/>
      <w:sz w:val="24"/>
    </w:rPr>
  </w:style>
  <w:style w:type="character" w:customStyle="1" w:styleId="79">
    <w:name w:val="标题 字符"/>
    <w:link w:val="33"/>
    <w:qFormat/>
    <w:uiPriority w:val="10"/>
    <w:rPr>
      <w:rFonts w:ascii="Calibri Light" w:hAnsi="Calibri Light"/>
      <w:b/>
      <w:bCs/>
      <w:kern w:val="2"/>
      <w:sz w:val="32"/>
      <w:szCs w:val="32"/>
    </w:rPr>
  </w:style>
  <w:style w:type="character" w:customStyle="1" w:styleId="80">
    <w:name w:val="批注主题 字符"/>
    <w:link w:val="34"/>
    <w:qFormat/>
    <w:uiPriority w:val="0"/>
    <w:rPr>
      <w:b/>
      <w:bCs/>
      <w:kern w:val="2"/>
      <w:sz w:val="21"/>
      <w:szCs w:val="24"/>
    </w:rPr>
  </w:style>
  <w:style w:type="paragraph" w:customStyle="1" w:styleId="81">
    <w:name w:val="正文首行缩进 21"/>
    <w:basedOn w:val="6"/>
    <w:link w:val="82"/>
    <w:qFormat/>
    <w:uiPriority w:val="99"/>
    <w:pPr>
      <w:ind w:firstLine="420" w:firstLineChars="200"/>
    </w:pPr>
    <w:rPr>
      <w:rFonts w:ascii="Times New Roman" w:hAnsi="Times New Roman"/>
      <w:sz w:val="20"/>
      <w:szCs w:val="24"/>
    </w:rPr>
  </w:style>
  <w:style w:type="character" w:customStyle="1" w:styleId="82">
    <w:name w:val="正文首行缩进 2 Char"/>
    <w:link w:val="81"/>
    <w:qFormat/>
    <w:uiPriority w:val="99"/>
    <w:rPr>
      <w:rFonts w:ascii="Times New Roman" w:hAnsi="Times New Roman" w:eastAsia="宋体" w:cs="Times New Roman"/>
      <w:kern w:val="0"/>
      <w:sz w:val="20"/>
      <w:szCs w:val="24"/>
    </w:rPr>
  </w:style>
  <w:style w:type="character" w:customStyle="1" w:styleId="83">
    <w:name w:val="标题 4 Char1"/>
    <w:semiHidden/>
    <w:qFormat/>
    <w:uiPriority w:val="9"/>
    <w:rPr>
      <w:rFonts w:hint="default" w:ascii="Calibri Light" w:hAnsi="Calibri Light" w:eastAsia="宋体" w:cs="Times New Roman"/>
      <w:b/>
      <w:bCs/>
      <w:sz w:val="28"/>
      <w:szCs w:val="28"/>
    </w:rPr>
  </w:style>
  <w:style w:type="character" w:customStyle="1" w:styleId="84">
    <w:name w:val="表格正文 Char"/>
    <w:qFormat/>
    <w:uiPriority w:val="0"/>
    <w:rPr>
      <w:rFonts w:eastAsia="宋体"/>
      <w:kern w:val="2"/>
      <w:sz w:val="21"/>
      <w:szCs w:val="24"/>
      <w:lang w:val="en-US" w:eastAsia="zh-CN" w:bidi="ar-SA"/>
    </w:rPr>
  </w:style>
  <w:style w:type="character" w:customStyle="1" w:styleId="85">
    <w:name w:val="表格内容 Char"/>
    <w:link w:val="86"/>
    <w:qFormat/>
    <w:uiPriority w:val="0"/>
    <w:rPr>
      <w:rFonts w:eastAsia="楷体_GB2312"/>
      <w:kern w:val="2"/>
      <w:sz w:val="24"/>
      <w:szCs w:val="24"/>
    </w:rPr>
  </w:style>
  <w:style w:type="paragraph" w:customStyle="1" w:styleId="86">
    <w:name w:val="表格内容"/>
    <w:basedOn w:val="1"/>
    <w:link w:val="85"/>
    <w:qFormat/>
    <w:uiPriority w:val="0"/>
    <w:pPr>
      <w:jc w:val="center"/>
    </w:pPr>
    <w:rPr>
      <w:rFonts w:eastAsia="楷体_GB2312"/>
      <w:sz w:val="24"/>
      <w:szCs w:val="24"/>
    </w:rPr>
  </w:style>
  <w:style w:type="character" w:customStyle="1" w:styleId="87">
    <w:name w:val="正文文本 + SimSun"/>
    <w:qFormat/>
    <w:uiPriority w:val="0"/>
    <w:rPr>
      <w:rFonts w:ascii="宋体" w:hAnsi="宋体" w:eastAsia="宋体" w:cs="宋体"/>
      <w:color w:val="000000"/>
      <w:spacing w:val="0"/>
      <w:w w:val="100"/>
      <w:position w:val="0"/>
      <w:sz w:val="21"/>
      <w:szCs w:val="21"/>
      <w:u w:val="none"/>
      <w:shd w:val="clear" w:color="auto" w:fill="FFFFFF"/>
      <w:lang w:val="zh-CN"/>
    </w:rPr>
  </w:style>
  <w:style w:type="character" w:customStyle="1" w:styleId="88">
    <w:name w:val="正文01 Char"/>
    <w:link w:val="89"/>
    <w:qFormat/>
    <w:locked/>
    <w:uiPriority w:val="0"/>
    <w:rPr>
      <w:rFonts w:ascii="Times New Roman" w:hAnsi="Times New Roman"/>
      <w:snapToGrid/>
      <w:color w:val="000000"/>
      <w:sz w:val="24"/>
      <w:szCs w:val="24"/>
    </w:rPr>
  </w:style>
  <w:style w:type="paragraph" w:customStyle="1" w:styleId="89">
    <w:name w:val="正文01"/>
    <w:basedOn w:val="1"/>
    <w:link w:val="88"/>
    <w:qFormat/>
    <w:uiPriority w:val="0"/>
    <w:pPr>
      <w:adjustRightInd w:val="0"/>
      <w:snapToGrid w:val="0"/>
      <w:spacing w:before="60" w:line="460" w:lineRule="exact"/>
      <w:ind w:firstLine="200" w:firstLineChars="200"/>
    </w:pPr>
    <w:rPr>
      <w:color w:val="000000"/>
      <w:sz w:val="24"/>
      <w:szCs w:val="24"/>
    </w:rPr>
  </w:style>
  <w:style w:type="character" w:customStyle="1" w:styleId="90">
    <w:name w:val="纯文本 Char"/>
    <w:qFormat/>
    <w:uiPriority w:val="0"/>
    <w:rPr>
      <w:rFonts w:ascii="宋体" w:hAnsi="Courier New" w:eastAsia="宋体" w:cs="Courier New"/>
      <w:szCs w:val="21"/>
    </w:rPr>
  </w:style>
  <w:style w:type="character" w:customStyle="1" w:styleId="91">
    <w:name w:val="text 字符"/>
    <w:link w:val="92"/>
    <w:qFormat/>
    <w:uiPriority w:val="0"/>
    <w:rPr>
      <w:rFonts w:ascii="Times New Roman" w:hAnsi="Times New Roman"/>
      <w:sz w:val="24"/>
    </w:rPr>
  </w:style>
  <w:style w:type="paragraph" w:customStyle="1" w:styleId="92">
    <w:name w:val="text"/>
    <w:basedOn w:val="1"/>
    <w:link w:val="91"/>
    <w:qFormat/>
    <w:uiPriority w:val="0"/>
    <w:pPr>
      <w:widowControl/>
      <w:spacing w:line="360" w:lineRule="auto"/>
      <w:ind w:firstLine="480" w:firstLineChars="200"/>
    </w:pPr>
    <w:rPr>
      <w:sz w:val="24"/>
    </w:rPr>
  </w:style>
  <w:style w:type="character" w:customStyle="1" w:styleId="93">
    <w:name w:val="批注主题 Char1"/>
    <w:semiHidden/>
    <w:qFormat/>
    <w:uiPriority w:val="99"/>
    <w:rPr>
      <w:b/>
      <w:bCs/>
      <w:kern w:val="2"/>
      <w:sz w:val="21"/>
      <w:szCs w:val="22"/>
    </w:rPr>
  </w:style>
  <w:style w:type="character" w:customStyle="1" w:styleId="94">
    <w:name w:val="访问过的超链接1"/>
    <w:unhideWhenUsed/>
    <w:qFormat/>
    <w:uiPriority w:val="99"/>
    <w:rPr>
      <w:color w:val="954F72"/>
      <w:u w:val="single"/>
    </w:rPr>
  </w:style>
  <w:style w:type="character" w:customStyle="1" w:styleId="95">
    <w:name w:val="纯文本 字符"/>
    <w:semiHidden/>
    <w:qFormat/>
    <w:uiPriority w:val="99"/>
    <w:rPr>
      <w:rFonts w:hint="eastAsia" w:ascii="宋体" w:hAnsi="Courier New" w:eastAsia="宋体" w:cs="Courier New"/>
      <w:kern w:val="2"/>
      <w:sz w:val="21"/>
      <w:szCs w:val="24"/>
    </w:rPr>
  </w:style>
  <w:style w:type="character" w:customStyle="1" w:styleId="96">
    <w:name w:val="标题 2 字符"/>
    <w:qFormat/>
    <w:uiPriority w:val="0"/>
    <w:rPr>
      <w:rFonts w:ascii="Cambria" w:hAnsi="Cambria" w:eastAsia="宋体" w:cs="Times New Roman"/>
      <w:b/>
      <w:bCs/>
      <w:kern w:val="2"/>
      <w:sz w:val="32"/>
      <w:szCs w:val="32"/>
    </w:rPr>
  </w:style>
  <w:style w:type="character" w:customStyle="1" w:styleId="97">
    <w:name w:val="正文01 Char Char"/>
    <w:qFormat/>
    <w:uiPriority w:val="0"/>
    <w:rPr>
      <w:kern w:val="2"/>
      <w:sz w:val="24"/>
      <w:szCs w:val="24"/>
    </w:rPr>
  </w:style>
  <w:style w:type="character" w:customStyle="1" w:styleId="98">
    <w:name w:val="批注文字 Char"/>
    <w:qFormat/>
    <w:uiPriority w:val="0"/>
    <w:rPr>
      <w:kern w:val="2"/>
      <w:sz w:val="21"/>
      <w:szCs w:val="24"/>
    </w:rPr>
  </w:style>
  <w:style w:type="character" w:customStyle="1" w:styleId="99">
    <w:name w:val="正文缩进 Char1"/>
    <w:qFormat/>
    <w:uiPriority w:val="0"/>
    <w:rPr>
      <w:rFonts w:ascii="宋体" w:hAnsi="Times New Roman"/>
      <w:sz w:val="24"/>
      <w:szCs w:val="18"/>
    </w:rPr>
  </w:style>
  <w:style w:type="character" w:customStyle="1" w:styleId="100">
    <w:name w:val="表格 Char"/>
    <w:link w:val="101"/>
    <w:qFormat/>
    <w:locked/>
    <w:uiPriority w:val="0"/>
    <w:rPr>
      <w:rFonts w:ascii="宋体" w:hAnsi="宋体"/>
      <w:snapToGrid/>
      <w:sz w:val="21"/>
    </w:rPr>
  </w:style>
  <w:style w:type="paragraph" w:customStyle="1" w:styleId="101">
    <w:name w:val="表格"/>
    <w:link w:val="100"/>
    <w:qFormat/>
    <w:uiPriority w:val="0"/>
    <w:pPr>
      <w:spacing w:line="380" w:lineRule="exact"/>
      <w:jc w:val="center"/>
    </w:pPr>
    <w:rPr>
      <w:rFonts w:ascii="宋体" w:hAnsi="宋体" w:eastAsia="宋体" w:cs="Times New Roman"/>
      <w:snapToGrid w:val="0"/>
      <w:sz w:val="21"/>
      <w:lang w:val="en-US" w:eastAsia="zh-CN" w:bidi="ar-SA"/>
    </w:rPr>
  </w:style>
  <w:style w:type="character" w:customStyle="1" w:styleId="102">
    <w:name w:val="正文文本 Char1"/>
    <w:semiHidden/>
    <w:qFormat/>
    <w:uiPriority w:val="99"/>
    <w:rPr>
      <w:kern w:val="2"/>
      <w:sz w:val="21"/>
      <w:szCs w:val="22"/>
    </w:rPr>
  </w:style>
  <w:style w:type="character" w:customStyle="1" w:styleId="103">
    <w:name w:val="table&amp;figure 字符"/>
    <w:link w:val="104"/>
    <w:qFormat/>
    <w:uiPriority w:val="0"/>
    <w:rPr>
      <w:rFonts w:ascii="Calibri Light" w:hAnsi="Calibri Light" w:eastAsia="黑体"/>
      <w:b/>
      <w:kern w:val="2"/>
      <w:sz w:val="21"/>
    </w:rPr>
  </w:style>
  <w:style w:type="paragraph" w:customStyle="1" w:styleId="104">
    <w:name w:val="table&amp;figure"/>
    <w:basedOn w:val="14"/>
    <w:link w:val="103"/>
    <w:qFormat/>
    <w:uiPriority w:val="0"/>
    <w:pPr>
      <w:jc w:val="center"/>
    </w:pPr>
    <w:rPr>
      <w:rFonts w:ascii="Calibri Light" w:hAnsi="Calibri Light" w:cs="Times New Roman"/>
      <w:b/>
      <w:sz w:val="21"/>
    </w:rPr>
  </w:style>
  <w:style w:type="character" w:customStyle="1" w:styleId="105">
    <w:name w:val="页眉 字符"/>
    <w:qFormat/>
    <w:uiPriority w:val="0"/>
    <w:rPr>
      <w:kern w:val="2"/>
      <w:sz w:val="18"/>
      <w:szCs w:val="18"/>
    </w:rPr>
  </w:style>
  <w:style w:type="character" w:customStyle="1" w:styleId="106">
    <w:name w:val="标题 9 Char1"/>
    <w:semiHidden/>
    <w:qFormat/>
    <w:uiPriority w:val="9"/>
    <w:rPr>
      <w:rFonts w:ascii="Calibri Light" w:hAnsi="Calibri Light" w:eastAsia="宋体" w:cs="Times New Roman"/>
      <w:szCs w:val="21"/>
    </w:rPr>
  </w:style>
  <w:style w:type="character" w:customStyle="1" w:styleId="107">
    <w:name w:val="题注 Char"/>
    <w:link w:val="108"/>
    <w:qFormat/>
    <w:locked/>
    <w:uiPriority w:val="99"/>
    <w:rPr>
      <w:rFonts w:ascii="Calibri Light" w:hAnsi="Calibri Light" w:eastAsia="黑体"/>
      <w:kern w:val="2"/>
    </w:rPr>
  </w:style>
  <w:style w:type="paragraph" w:customStyle="1" w:styleId="108">
    <w:name w:val="题注1"/>
    <w:basedOn w:val="1"/>
    <w:next w:val="1"/>
    <w:link w:val="107"/>
    <w:unhideWhenUsed/>
    <w:qFormat/>
    <w:uiPriority w:val="99"/>
    <w:pPr>
      <w:spacing w:line="360" w:lineRule="auto"/>
      <w:ind w:firstLine="200" w:firstLineChars="200"/>
    </w:pPr>
    <w:rPr>
      <w:rFonts w:ascii="Calibri Light" w:hAnsi="Calibri Light" w:eastAsia="黑体"/>
    </w:rPr>
  </w:style>
  <w:style w:type="character" w:customStyle="1" w:styleId="109">
    <w:name w:val="1 字符"/>
    <w:qFormat/>
    <w:uiPriority w:val="0"/>
    <w:rPr>
      <w:b/>
      <w:kern w:val="44"/>
      <w:sz w:val="36"/>
      <w:szCs w:val="24"/>
    </w:rPr>
  </w:style>
  <w:style w:type="character" w:customStyle="1" w:styleId="110">
    <w:name w:val="my Char"/>
    <w:link w:val="111"/>
    <w:qFormat/>
    <w:uiPriority w:val="0"/>
    <w:rPr>
      <w:color w:val="000000"/>
      <w:sz w:val="24"/>
    </w:rPr>
  </w:style>
  <w:style w:type="paragraph" w:customStyle="1" w:styleId="111">
    <w:name w:val="my"/>
    <w:basedOn w:val="1"/>
    <w:link w:val="110"/>
    <w:qFormat/>
    <w:uiPriority w:val="0"/>
    <w:pPr>
      <w:spacing w:before="60" w:line="480" w:lineRule="exact"/>
      <w:ind w:firstLine="200" w:firstLineChars="200"/>
    </w:pPr>
    <w:rPr>
      <w:color w:val="000000"/>
      <w:sz w:val="24"/>
    </w:rPr>
  </w:style>
  <w:style w:type="character" w:customStyle="1" w:styleId="112">
    <w:name w:val="Body text|2 + Microsoft YaHei"/>
    <w:unhideWhenUsed/>
    <w:qFormat/>
    <w:uiPriority w:val="0"/>
    <w:rPr>
      <w:rFonts w:ascii="微软雅黑" w:hAnsi="微软雅黑" w:eastAsia="微软雅黑" w:cs="微软雅黑"/>
      <w:b/>
      <w:bCs/>
      <w:color w:val="000000"/>
      <w:spacing w:val="0"/>
      <w:w w:val="100"/>
      <w:position w:val="0"/>
      <w:sz w:val="18"/>
      <w:szCs w:val="18"/>
      <w:shd w:val="clear" w:color="auto" w:fill="FFFFFF"/>
      <w:lang w:eastAsia="en-US" w:bidi="en-US"/>
    </w:rPr>
  </w:style>
  <w:style w:type="character" w:customStyle="1" w:styleId="113">
    <w:name w:val="Body text|2 + 11 pt"/>
    <w:unhideWhenUsed/>
    <w:qFormat/>
    <w:uiPriority w:val="0"/>
    <w:rPr>
      <w:rFonts w:ascii="PMingLiU" w:hAnsi="PMingLiU" w:eastAsia="PMingLiU" w:cs="PMingLiU"/>
      <w:b/>
      <w:bCs/>
      <w:color w:val="000000"/>
      <w:spacing w:val="0"/>
      <w:w w:val="100"/>
      <w:position w:val="0"/>
      <w:sz w:val="22"/>
      <w:szCs w:val="22"/>
      <w:shd w:val="clear" w:color="auto" w:fill="FFFFFF"/>
      <w:lang w:val="zh-CN" w:eastAsia="zh-CN" w:bidi="zh-CN"/>
    </w:rPr>
  </w:style>
  <w:style w:type="character" w:customStyle="1" w:styleId="114">
    <w:name w:val="超链接1"/>
    <w:unhideWhenUsed/>
    <w:qFormat/>
    <w:uiPriority w:val="99"/>
    <w:rPr>
      <w:color w:val="0563C1"/>
      <w:u w:val="single"/>
    </w:rPr>
  </w:style>
  <w:style w:type="character" w:customStyle="1" w:styleId="115">
    <w:name w:val="标题2 Char Char"/>
    <w:link w:val="116"/>
    <w:qFormat/>
    <w:uiPriority w:val="0"/>
    <w:rPr>
      <w:rFonts w:ascii="Arial" w:hAnsi="Arial" w:eastAsia="黑体" w:cs="Times New Roman"/>
      <w:b/>
      <w:bCs/>
      <w:kern w:val="0"/>
      <w:sz w:val="28"/>
      <w:szCs w:val="32"/>
    </w:rPr>
  </w:style>
  <w:style w:type="paragraph" w:customStyle="1" w:styleId="116">
    <w:name w:val="标题2"/>
    <w:basedOn w:val="4"/>
    <w:link w:val="115"/>
    <w:qFormat/>
    <w:uiPriority w:val="0"/>
    <w:pPr>
      <w:spacing w:before="0" w:after="0" w:line="440" w:lineRule="exact"/>
    </w:pPr>
    <w:rPr>
      <w:rFonts w:ascii="Arial" w:hAnsi="Arial" w:eastAsia="黑体"/>
      <w:sz w:val="28"/>
    </w:rPr>
  </w:style>
  <w:style w:type="character" w:customStyle="1" w:styleId="117">
    <w:name w:val="Body text|78 + Spacing 0 pt"/>
    <w:unhideWhenUsed/>
    <w:qFormat/>
    <w:uiPriority w:val="0"/>
    <w:rPr>
      <w:rFonts w:ascii="PMingLiU" w:hAnsi="PMingLiU" w:eastAsia="PMingLiU" w:cs="PMingLiU"/>
      <w:b/>
      <w:bCs/>
      <w:color w:val="000000"/>
      <w:spacing w:val="0"/>
      <w:w w:val="100"/>
      <w:position w:val="0"/>
      <w:sz w:val="22"/>
      <w:szCs w:val="22"/>
      <w:shd w:val="clear" w:color="auto" w:fill="FFFFFF"/>
      <w:lang w:val="zh-CN" w:eastAsia="zh-CN" w:bidi="zh-CN"/>
    </w:rPr>
  </w:style>
  <w:style w:type="character" w:customStyle="1" w:styleId="118">
    <w:name w:val="font61"/>
    <w:qFormat/>
    <w:uiPriority w:val="0"/>
    <w:rPr>
      <w:rFonts w:hint="eastAsia" w:ascii="宋体" w:hAnsi="宋体" w:eastAsia="宋体" w:cs="宋体"/>
      <w:color w:val="000000"/>
      <w:sz w:val="19"/>
      <w:szCs w:val="19"/>
      <w:u w:val="none"/>
    </w:rPr>
  </w:style>
  <w:style w:type="character" w:customStyle="1" w:styleId="119">
    <w:name w:val="font21"/>
    <w:qFormat/>
    <w:uiPriority w:val="0"/>
    <w:rPr>
      <w:rFonts w:hint="eastAsia" w:ascii="宋体" w:hAnsi="宋体" w:eastAsia="宋体" w:cs="宋体"/>
      <w:color w:val="000000"/>
      <w:sz w:val="21"/>
      <w:szCs w:val="21"/>
      <w:u w:val="none"/>
    </w:rPr>
  </w:style>
  <w:style w:type="character" w:customStyle="1" w:styleId="120">
    <w:name w:val="Body text|2 + 9.5 pt"/>
    <w:unhideWhenUsed/>
    <w:qFormat/>
    <w:uiPriority w:val="0"/>
    <w:rPr>
      <w:rFonts w:ascii="PMingLiU" w:hAnsi="PMingLiU" w:eastAsia="PMingLiU" w:cs="PMingLiU"/>
      <w:b/>
      <w:bCs/>
      <w:color w:val="000000"/>
      <w:spacing w:val="0"/>
      <w:w w:val="100"/>
      <w:position w:val="0"/>
      <w:sz w:val="19"/>
      <w:szCs w:val="19"/>
      <w:shd w:val="clear" w:color="auto" w:fill="FFFFFF"/>
      <w:lang w:eastAsia="en-US" w:bidi="en-US"/>
    </w:rPr>
  </w:style>
  <w:style w:type="character" w:customStyle="1" w:styleId="121">
    <w:name w:val="3级标题 Char Char"/>
    <w:link w:val="122"/>
    <w:qFormat/>
    <w:uiPriority w:val="0"/>
    <w:rPr>
      <w:b/>
      <w:kern w:val="2"/>
      <w:sz w:val="24"/>
    </w:rPr>
  </w:style>
  <w:style w:type="paragraph" w:customStyle="1" w:styleId="122">
    <w:name w:val="3级标题"/>
    <w:basedOn w:val="1"/>
    <w:link w:val="121"/>
    <w:qFormat/>
    <w:uiPriority w:val="0"/>
    <w:pPr>
      <w:spacing w:before="300" w:line="460" w:lineRule="exact"/>
      <w:outlineLvl w:val="2"/>
    </w:pPr>
    <w:rPr>
      <w:b/>
      <w:sz w:val="24"/>
    </w:rPr>
  </w:style>
  <w:style w:type="character" w:customStyle="1" w:styleId="123">
    <w:name w:val="图片 字符"/>
    <w:link w:val="124"/>
    <w:qFormat/>
    <w:uiPriority w:val="0"/>
    <w:rPr>
      <w:rFonts w:ascii="Times New Roman" w:hAnsi="Times New Roman"/>
      <w:b/>
      <w:sz w:val="24"/>
      <w:szCs w:val="24"/>
    </w:rPr>
  </w:style>
  <w:style w:type="paragraph" w:customStyle="1" w:styleId="124">
    <w:name w:val="图片"/>
    <w:basedOn w:val="1"/>
    <w:link w:val="123"/>
    <w:qFormat/>
    <w:uiPriority w:val="0"/>
    <w:pPr>
      <w:adjustRightInd w:val="0"/>
      <w:snapToGrid w:val="0"/>
      <w:spacing w:line="360" w:lineRule="auto"/>
      <w:jc w:val="center"/>
    </w:pPr>
    <w:rPr>
      <w:b/>
      <w:sz w:val="24"/>
      <w:szCs w:val="24"/>
    </w:rPr>
  </w:style>
  <w:style w:type="character" w:customStyle="1" w:styleId="125">
    <w:name w:val="fontstyle11"/>
    <w:qFormat/>
    <w:uiPriority w:val="0"/>
    <w:rPr>
      <w:rFonts w:hint="eastAsia" w:ascii="宋体" w:hAnsi="宋体" w:eastAsia="宋体"/>
      <w:color w:val="000000"/>
      <w:sz w:val="24"/>
      <w:szCs w:val="24"/>
    </w:rPr>
  </w:style>
  <w:style w:type="character" w:customStyle="1" w:styleId="126">
    <w:name w:val="宋体小四 Char"/>
    <w:link w:val="127"/>
    <w:qFormat/>
    <w:uiPriority w:val="0"/>
    <w:rPr>
      <w:rFonts w:ascii="宋体" w:hAnsi="宋体"/>
      <w:sz w:val="24"/>
      <w:lang w:val="en-GB"/>
    </w:rPr>
  </w:style>
  <w:style w:type="paragraph" w:customStyle="1" w:styleId="127">
    <w:name w:val="宋体小四"/>
    <w:basedOn w:val="1"/>
    <w:link w:val="126"/>
    <w:qFormat/>
    <w:uiPriority w:val="0"/>
    <w:pPr>
      <w:adjustRightInd w:val="0"/>
      <w:snapToGrid w:val="0"/>
      <w:spacing w:line="360" w:lineRule="auto"/>
      <w:ind w:firstLine="480" w:firstLineChars="200"/>
    </w:pPr>
    <w:rPr>
      <w:rFonts w:ascii="宋体" w:hAnsi="宋体"/>
      <w:sz w:val="24"/>
      <w:lang w:val="en-GB"/>
    </w:rPr>
  </w:style>
  <w:style w:type="character" w:customStyle="1" w:styleId="128">
    <w:name w:val="fontstyle01"/>
    <w:qFormat/>
    <w:uiPriority w:val="0"/>
    <w:rPr>
      <w:rFonts w:hint="eastAsia" w:ascii="宋体" w:hAnsi="宋体" w:eastAsia="宋体"/>
      <w:color w:val="000000"/>
      <w:sz w:val="24"/>
      <w:szCs w:val="24"/>
    </w:rPr>
  </w:style>
  <w:style w:type="character" w:customStyle="1" w:styleId="129">
    <w:name w:val="正文文本_"/>
    <w:link w:val="130"/>
    <w:qFormat/>
    <w:uiPriority w:val="0"/>
    <w:rPr>
      <w:rFonts w:ascii="Arial Unicode MS" w:hAnsi="Arial Unicode MS" w:eastAsia="Arial Unicode MS" w:cs="Arial Unicode MS"/>
      <w:sz w:val="27"/>
      <w:szCs w:val="27"/>
      <w:shd w:val="clear" w:color="auto" w:fill="FFFFFF"/>
    </w:rPr>
  </w:style>
  <w:style w:type="paragraph" w:customStyle="1" w:styleId="130">
    <w:name w:val="正文文本1"/>
    <w:basedOn w:val="1"/>
    <w:link w:val="129"/>
    <w:qFormat/>
    <w:uiPriority w:val="0"/>
    <w:pPr>
      <w:shd w:val="clear" w:color="auto" w:fill="FFFFFF"/>
      <w:spacing w:line="564" w:lineRule="exact"/>
      <w:jc w:val="left"/>
    </w:pPr>
    <w:rPr>
      <w:rFonts w:ascii="Arial Unicode MS" w:hAnsi="Arial Unicode MS" w:eastAsia="Arial Unicode MS" w:cs="Arial Unicode MS"/>
      <w:sz w:val="27"/>
      <w:szCs w:val="27"/>
    </w:rPr>
  </w:style>
  <w:style w:type="character" w:customStyle="1" w:styleId="131">
    <w:name w:val="标题 3 字符"/>
    <w:qFormat/>
    <w:uiPriority w:val="9"/>
    <w:rPr>
      <w:rFonts w:ascii="Times New Roman" w:hAnsi="Times New Roman"/>
      <w:b/>
      <w:bCs/>
      <w:kern w:val="2"/>
      <w:sz w:val="30"/>
      <w:szCs w:val="32"/>
    </w:rPr>
  </w:style>
  <w:style w:type="character" w:customStyle="1" w:styleId="132">
    <w:name w:val="表格数字 Char"/>
    <w:link w:val="133"/>
    <w:qFormat/>
    <w:uiPriority w:val="0"/>
    <w:rPr>
      <w:rFonts w:ascii="Arial" w:hAnsi="Arial" w:cs="宋体"/>
      <w:sz w:val="21"/>
    </w:rPr>
  </w:style>
  <w:style w:type="paragraph" w:customStyle="1" w:styleId="133">
    <w:name w:val="表格数字"/>
    <w:basedOn w:val="1"/>
    <w:link w:val="132"/>
    <w:qFormat/>
    <w:uiPriority w:val="0"/>
    <w:pPr>
      <w:spacing w:line="360" w:lineRule="exact"/>
      <w:jc w:val="center"/>
    </w:pPr>
    <w:rPr>
      <w:rFonts w:ascii="Arial" w:hAnsi="Arial" w:cs="宋体"/>
    </w:rPr>
  </w:style>
  <w:style w:type="character" w:customStyle="1" w:styleId="134">
    <w:name w:val="ui-icon34"/>
    <w:qFormat/>
    <w:uiPriority w:val="0"/>
  </w:style>
  <w:style w:type="character" w:customStyle="1" w:styleId="135">
    <w:name w:val="font7"/>
    <w:qFormat/>
    <w:uiPriority w:val="0"/>
  </w:style>
  <w:style w:type="character" w:customStyle="1" w:styleId="136">
    <w:name w:val="font11"/>
    <w:qFormat/>
    <w:uiPriority w:val="0"/>
    <w:rPr>
      <w:rFonts w:hint="eastAsia" w:ascii="宋体" w:hAnsi="宋体" w:eastAsia="宋体" w:cs="宋体"/>
      <w:color w:val="000000"/>
      <w:sz w:val="18"/>
      <w:szCs w:val="18"/>
      <w:u w:val="none"/>
    </w:rPr>
  </w:style>
  <w:style w:type="character" w:customStyle="1" w:styleId="137">
    <w:name w:val="fontstyle21"/>
    <w:qFormat/>
    <w:uiPriority w:val="0"/>
    <w:rPr>
      <w:rFonts w:hint="default" w:ascii="TimesNewRomanPSMT" w:hAnsi="TimesNewRomanPSMT"/>
      <w:color w:val="000000"/>
      <w:sz w:val="22"/>
      <w:szCs w:val="22"/>
    </w:rPr>
  </w:style>
  <w:style w:type="character" w:customStyle="1" w:styleId="138">
    <w:name w:val="hover"/>
    <w:qFormat/>
    <w:uiPriority w:val="0"/>
    <w:rPr>
      <w:shd w:val="clear" w:color="auto" w:fill="EAE9E9"/>
    </w:rPr>
  </w:style>
  <w:style w:type="character" w:customStyle="1" w:styleId="139">
    <w:name w:val="postbody1"/>
    <w:qFormat/>
    <w:uiPriority w:val="0"/>
    <w:rPr>
      <w:sz w:val="18"/>
      <w:szCs w:val="18"/>
    </w:rPr>
  </w:style>
  <w:style w:type="character" w:customStyle="1" w:styleId="140">
    <w:name w:val="标题 6 Char1"/>
    <w:semiHidden/>
    <w:qFormat/>
    <w:uiPriority w:val="9"/>
    <w:rPr>
      <w:rFonts w:ascii="Calibri Light" w:hAnsi="Calibri Light" w:eastAsia="宋体" w:cs="Times New Roman"/>
      <w:b/>
      <w:bCs/>
      <w:sz w:val="24"/>
      <w:szCs w:val="24"/>
    </w:rPr>
  </w:style>
  <w:style w:type="character" w:customStyle="1" w:styleId="141">
    <w:name w:val="font41"/>
    <w:qFormat/>
    <w:uiPriority w:val="0"/>
    <w:rPr>
      <w:rFonts w:hint="default" w:ascii="Times New Roman" w:hAnsi="Times New Roman" w:cs="Times New Roman"/>
      <w:color w:val="000000"/>
      <w:sz w:val="21"/>
      <w:szCs w:val="21"/>
      <w:u w:val="none"/>
    </w:rPr>
  </w:style>
  <w:style w:type="character" w:customStyle="1" w:styleId="142">
    <w:name w:val="Body text|9_"/>
    <w:link w:val="143"/>
    <w:qFormat/>
    <w:uiPriority w:val="0"/>
    <w:rPr>
      <w:rFonts w:ascii="PMingLiU" w:hAnsi="PMingLiU" w:eastAsia="PMingLiU" w:cs="PMingLiU"/>
      <w:spacing w:val="20"/>
      <w:sz w:val="22"/>
      <w:szCs w:val="22"/>
      <w:shd w:val="clear" w:color="auto" w:fill="FFFFFF"/>
    </w:rPr>
  </w:style>
  <w:style w:type="paragraph" w:customStyle="1" w:styleId="143">
    <w:name w:val="Body text|9"/>
    <w:basedOn w:val="1"/>
    <w:link w:val="142"/>
    <w:qFormat/>
    <w:uiPriority w:val="0"/>
    <w:pPr>
      <w:shd w:val="clear" w:color="auto" w:fill="FFFFFF"/>
      <w:spacing w:before="540" w:line="220" w:lineRule="exact"/>
    </w:pPr>
    <w:rPr>
      <w:rFonts w:ascii="PMingLiU" w:hAnsi="PMingLiU" w:eastAsia="PMingLiU" w:cs="PMingLiU"/>
      <w:spacing w:val="20"/>
      <w:sz w:val="22"/>
    </w:rPr>
  </w:style>
  <w:style w:type="character" w:customStyle="1" w:styleId="144">
    <w:name w:val="报告正文-连续目录 Char Char"/>
    <w:link w:val="145"/>
    <w:qFormat/>
    <w:uiPriority w:val="0"/>
    <w:rPr>
      <w:rFonts w:ascii="Arial" w:hAnsi="Arial" w:eastAsia="宋体" w:cs="Times New Roman"/>
      <w:snapToGrid/>
      <w:kern w:val="0"/>
      <w:sz w:val="24"/>
      <w:szCs w:val="24"/>
    </w:rPr>
  </w:style>
  <w:style w:type="paragraph" w:customStyle="1" w:styleId="145">
    <w:name w:val="报告正文-连续目录"/>
    <w:basedOn w:val="1"/>
    <w:link w:val="144"/>
    <w:qFormat/>
    <w:uiPriority w:val="0"/>
    <w:pPr>
      <w:spacing w:line="440" w:lineRule="exact"/>
      <w:ind w:firstLine="200" w:firstLineChars="200"/>
    </w:pPr>
    <w:rPr>
      <w:rFonts w:ascii="Arial" w:hAnsi="Arial"/>
      <w:sz w:val="24"/>
      <w:szCs w:val="24"/>
    </w:rPr>
  </w:style>
  <w:style w:type="character" w:customStyle="1" w:styleId="146">
    <w:name w:val="layui-layer-tabnow"/>
    <w:qFormat/>
    <w:uiPriority w:val="0"/>
    <w:rPr>
      <w:bdr w:val="single" w:color="CCCCCC" w:sz="6" w:space="0"/>
      <w:shd w:val="clear" w:color="auto" w:fill="FFFFFF"/>
    </w:rPr>
  </w:style>
  <w:style w:type="character" w:customStyle="1" w:styleId="147">
    <w:name w:val="图表名字 Char1"/>
    <w:link w:val="148"/>
    <w:qFormat/>
    <w:locked/>
    <w:uiPriority w:val="0"/>
    <w:rPr>
      <w:rFonts w:ascii="宋体" w:hAnsi="宋体"/>
      <w:b/>
      <w:sz w:val="24"/>
      <w:szCs w:val="24"/>
    </w:rPr>
  </w:style>
  <w:style w:type="paragraph" w:customStyle="1" w:styleId="148">
    <w:name w:val="图表名字"/>
    <w:basedOn w:val="14"/>
    <w:link w:val="147"/>
    <w:qFormat/>
    <w:uiPriority w:val="0"/>
    <w:pPr>
      <w:spacing w:line="360" w:lineRule="auto"/>
      <w:ind w:firstLine="200" w:firstLineChars="200"/>
      <w:jc w:val="center"/>
    </w:pPr>
    <w:rPr>
      <w:rFonts w:ascii="宋体" w:hAnsi="宋体" w:eastAsia="宋体" w:cs="Times New Roman"/>
      <w:b/>
      <w:sz w:val="24"/>
      <w:szCs w:val="24"/>
    </w:rPr>
  </w:style>
  <w:style w:type="character" w:customStyle="1" w:styleId="149">
    <w:name w:val="样式 正文001 + 首行缩进:  2 字符 Char"/>
    <w:link w:val="150"/>
    <w:qFormat/>
    <w:uiPriority w:val="0"/>
    <w:rPr>
      <w:sz w:val="24"/>
    </w:rPr>
  </w:style>
  <w:style w:type="paragraph" w:customStyle="1" w:styleId="150">
    <w:name w:val="样式 正文001 + 首行缩进:  2 字符"/>
    <w:basedOn w:val="1"/>
    <w:link w:val="149"/>
    <w:qFormat/>
    <w:uiPriority w:val="0"/>
    <w:pPr>
      <w:spacing w:line="500" w:lineRule="atLeast"/>
      <w:ind w:firstLine="480" w:firstLineChars="200"/>
    </w:pPr>
    <w:rPr>
      <w:sz w:val="24"/>
    </w:rPr>
  </w:style>
  <w:style w:type="character" w:customStyle="1" w:styleId="151">
    <w:name w:val="Table caption|3 + Spacing 0 pt1"/>
    <w:unhideWhenUsed/>
    <w:qFormat/>
    <w:uiPriority w:val="0"/>
    <w:rPr>
      <w:rFonts w:ascii="PMingLiU" w:hAnsi="PMingLiU" w:eastAsia="PMingLiU" w:cs="PMingLiU"/>
      <w:color w:val="000000"/>
      <w:spacing w:val="0"/>
      <w:w w:val="100"/>
      <w:position w:val="0"/>
      <w:sz w:val="22"/>
      <w:szCs w:val="22"/>
      <w:u w:val="none"/>
      <w:shd w:val="clear" w:color="auto" w:fill="FFFFFF"/>
      <w:lang w:val="zh-CN" w:eastAsia="zh-CN" w:bidi="zh-CN"/>
    </w:rPr>
  </w:style>
  <w:style w:type="character" w:customStyle="1" w:styleId="152">
    <w:name w:val="标题4 字符"/>
    <w:link w:val="153"/>
    <w:qFormat/>
    <w:uiPriority w:val="0"/>
    <w:rPr>
      <w:rFonts w:ascii="Calibri Light" w:hAnsi="Calibri Light"/>
      <w:b/>
      <w:bCs/>
      <w:kern w:val="2"/>
      <w:sz w:val="28"/>
      <w:szCs w:val="28"/>
    </w:rPr>
  </w:style>
  <w:style w:type="paragraph" w:customStyle="1" w:styleId="153">
    <w:name w:val="标题4"/>
    <w:basedOn w:val="6"/>
    <w:link w:val="152"/>
    <w:qFormat/>
    <w:uiPriority w:val="0"/>
    <w:pPr>
      <w:spacing w:before="0" w:after="0" w:line="360" w:lineRule="auto"/>
      <w:jc w:val="left"/>
    </w:pPr>
    <w:rPr>
      <w:rFonts w:ascii="Calibri Light" w:hAnsi="Calibri Light"/>
    </w:rPr>
  </w:style>
  <w:style w:type="character" w:customStyle="1" w:styleId="154">
    <w:name w:val="表格正文 Char1"/>
    <w:link w:val="155"/>
    <w:qFormat/>
    <w:uiPriority w:val="0"/>
    <w:rPr>
      <w:rFonts w:ascii="Times New Roman" w:hAnsi="Times New Roman" w:eastAsia="宋体" w:cs="Times New Roman"/>
      <w:kern w:val="0"/>
      <w:szCs w:val="24"/>
    </w:rPr>
  </w:style>
  <w:style w:type="paragraph" w:customStyle="1" w:styleId="155">
    <w:name w:val="表格正文"/>
    <w:basedOn w:val="1"/>
    <w:link w:val="154"/>
    <w:qFormat/>
    <w:uiPriority w:val="0"/>
    <w:pPr>
      <w:spacing w:line="360" w:lineRule="exact"/>
      <w:jc w:val="center"/>
    </w:pPr>
    <w:rPr>
      <w:szCs w:val="24"/>
    </w:rPr>
  </w:style>
  <w:style w:type="character" w:customStyle="1" w:styleId="156">
    <w:name w:val="标题 8 Char1"/>
    <w:semiHidden/>
    <w:qFormat/>
    <w:uiPriority w:val="9"/>
    <w:rPr>
      <w:rFonts w:ascii="Calibri Light" w:hAnsi="Calibri Light" w:eastAsia="宋体" w:cs="Times New Roman"/>
      <w:sz w:val="24"/>
      <w:szCs w:val="24"/>
    </w:rPr>
  </w:style>
  <w:style w:type="character" w:customStyle="1" w:styleId="157">
    <w:name w:val="标题3 Char"/>
    <w:link w:val="158"/>
    <w:qFormat/>
    <w:uiPriority w:val="0"/>
    <w:rPr>
      <w:rFonts w:ascii="Arial" w:hAnsi="Arial" w:eastAsia="宋体" w:cs="Times New Roman"/>
      <w:b/>
      <w:bCs/>
      <w:kern w:val="0"/>
      <w:sz w:val="24"/>
      <w:szCs w:val="32"/>
    </w:rPr>
  </w:style>
  <w:style w:type="paragraph" w:customStyle="1" w:styleId="158">
    <w:name w:val="标题3"/>
    <w:basedOn w:val="5"/>
    <w:link w:val="157"/>
    <w:qFormat/>
    <w:uiPriority w:val="0"/>
    <w:pPr>
      <w:spacing w:before="0" w:after="0" w:line="440" w:lineRule="exact"/>
    </w:pPr>
    <w:rPr>
      <w:rFonts w:ascii="Arial" w:hAnsi="Arial"/>
      <w:sz w:val="24"/>
    </w:rPr>
  </w:style>
  <w:style w:type="character" w:customStyle="1" w:styleId="159">
    <w:name w:val="Table caption|3_"/>
    <w:link w:val="160"/>
    <w:qFormat/>
    <w:uiPriority w:val="0"/>
    <w:rPr>
      <w:rFonts w:ascii="PMingLiU" w:hAnsi="PMingLiU" w:eastAsia="PMingLiU" w:cs="PMingLiU"/>
      <w:spacing w:val="20"/>
      <w:sz w:val="22"/>
      <w:szCs w:val="22"/>
      <w:shd w:val="clear" w:color="auto" w:fill="FFFFFF"/>
    </w:rPr>
  </w:style>
  <w:style w:type="paragraph" w:customStyle="1" w:styleId="160">
    <w:name w:val="Table caption|3"/>
    <w:basedOn w:val="1"/>
    <w:link w:val="159"/>
    <w:qFormat/>
    <w:uiPriority w:val="0"/>
    <w:pPr>
      <w:shd w:val="clear" w:color="auto" w:fill="FFFFFF"/>
      <w:spacing w:line="220" w:lineRule="exact"/>
    </w:pPr>
    <w:rPr>
      <w:rFonts w:ascii="PMingLiU" w:hAnsi="PMingLiU" w:eastAsia="PMingLiU" w:cs="PMingLiU"/>
      <w:spacing w:val="20"/>
      <w:sz w:val="22"/>
    </w:rPr>
  </w:style>
  <w:style w:type="character" w:customStyle="1" w:styleId="161">
    <w:name w:val="ui-icon33"/>
    <w:qFormat/>
    <w:uiPriority w:val="0"/>
  </w:style>
  <w:style w:type="character" w:customStyle="1" w:styleId="162">
    <w:name w:val="Body text|78_"/>
    <w:link w:val="163"/>
    <w:qFormat/>
    <w:uiPriority w:val="0"/>
    <w:rPr>
      <w:rFonts w:ascii="PMingLiU" w:hAnsi="PMingLiU" w:eastAsia="PMingLiU" w:cs="PMingLiU"/>
      <w:b/>
      <w:bCs/>
      <w:spacing w:val="10"/>
      <w:sz w:val="22"/>
      <w:szCs w:val="22"/>
      <w:shd w:val="clear" w:color="auto" w:fill="FFFFFF"/>
    </w:rPr>
  </w:style>
  <w:style w:type="paragraph" w:customStyle="1" w:styleId="163">
    <w:name w:val="Body text|78"/>
    <w:basedOn w:val="1"/>
    <w:link w:val="162"/>
    <w:qFormat/>
    <w:uiPriority w:val="0"/>
    <w:pPr>
      <w:shd w:val="clear" w:color="auto" w:fill="FFFFFF"/>
      <w:spacing w:line="396" w:lineRule="exact"/>
    </w:pPr>
    <w:rPr>
      <w:rFonts w:ascii="PMingLiU" w:hAnsi="PMingLiU" w:eastAsia="PMingLiU" w:cs="PMingLiU"/>
      <w:b/>
      <w:bCs/>
      <w:spacing w:val="10"/>
      <w:sz w:val="22"/>
    </w:rPr>
  </w:style>
  <w:style w:type="character" w:customStyle="1" w:styleId="164">
    <w:name w:val="font01"/>
    <w:qFormat/>
    <w:uiPriority w:val="0"/>
    <w:rPr>
      <w:rFonts w:hint="default" w:ascii="Times New Roman" w:hAnsi="Times New Roman" w:cs="Times New Roman"/>
      <w:color w:val="000000"/>
      <w:sz w:val="21"/>
      <w:szCs w:val="21"/>
      <w:u w:val="none"/>
    </w:rPr>
  </w:style>
  <w:style w:type="character" w:customStyle="1" w:styleId="165">
    <w:name w:val="font31"/>
    <w:qFormat/>
    <w:uiPriority w:val="0"/>
    <w:rPr>
      <w:rFonts w:hint="default" w:ascii="Times New Roman" w:hAnsi="Times New Roman" w:cs="Times New Roman"/>
      <w:color w:val="000000"/>
      <w:sz w:val="19"/>
      <w:szCs w:val="19"/>
      <w:u w:val="none"/>
    </w:rPr>
  </w:style>
  <w:style w:type="character" w:customStyle="1" w:styleId="166">
    <w:name w:val="apple-converted-space"/>
    <w:qFormat/>
    <w:uiPriority w:val="0"/>
  </w:style>
  <w:style w:type="character" w:customStyle="1" w:styleId="167">
    <w:name w:val="text11"/>
    <w:qFormat/>
    <w:uiPriority w:val="0"/>
    <w:rPr>
      <w:rFonts w:hint="default" w:ascii="Arial" w:hAnsi="Arial" w:cs="Arial"/>
      <w:color w:val="000000"/>
      <w:sz w:val="18"/>
      <w:szCs w:val="18"/>
      <w:u w:val="none"/>
    </w:rPr>
  </w:style>
  <w:style w:type="character" w:customStyle="1" w:styleId="168">
    <w:name w:val="Body text|15 + PMingLiU"/>
    <w:unhideWhenUsed/>
    <w:qFormat/>
    <w:uiPriority w:val="0"/>
    <w:rPr>
      <w:rFonts w:ascii="PMingLiU" w:hAnsi="PMingLiU" w:eastAsia="PMingLiU" w:cs="PMingLiU"/>
      <w:color w:val="000000"/>
      <w:spacing w:val="0"/>
      <w:w w:val="100"/>
      <w:position w:val="0"/>
      <w:sz w:val="22"/>
      <w:szCs w:val="22"/>
      <w:shd w:val="clear" w:color="auto" w:fill="FFFFFF"/>
      <w:lang w:val="zh-CN" w:eastAsia="zh-CN" w:bidi="zh-CN"/>
    </w:rPr>
  </w:style>
  <w:style w:type="character" w:customStyle="1" w:styleId="169">
    <w:name w:val="font71"/>
    <w:qFormat/>
    <w:uiPriority w:val="0"/>
    <w:rPr>
      <w:rFonts w:hint="default" w:ascii="Times New Roman" w:hAnsi="Times New Roman" w:cs="Times New Roman"/>
      <w:color w:val="000000"/>
      <w:sz w:val="21"/>
      <w:szCs w:val="21"/>
      <w:u w:val="none"/>
      <w:vertAlign w:val="subscript"/>
    </w:rPr>
  </w:style>
  <w:style w:type="character" w:customStyle="1" w:styleId="170">
    <w:name w:val="标题1标题1 字符"/>
    <w:link w:val="171"/>
    <w:qFormat/>
    <w:locked/>
    <w:uiPriority w:val="0"/>
    <w:rPr>
      <w:b/>
      <w:kern w:val="44"/>
      <w:sz w:val="36"/>
      <w:szCs w:val="24"/>
    </w:rPr>
  </w:style>
  <w:style w:type="paragraph" w:customStyle="1" w:styleId="171">
    <w:name w:val="标题1标题1"/>
    <w:basedOn w:val="3"/>
    <w:link w:val="170"/>
    <w:qFormat/>
    <w:uiPriority w:val="0"/>
    <w:pPr>
      <w:pageBreakBefore/>
      <w:spacing w:before="0" w:after="0" w:line="360" w:lineRule="auto"/>
    </w:pPr>
    <w:rPr>
      <w:bCs w:val="0"/>
      <w:sz w:val="36"/>
      <w:szCs w:val="24"/>
    </w:rPr>
  </w:style>
  <w:style w:type="character" w:customStyle="1" w:styleId="172">
    <w:name w:val="font51"/>
    <w:qFormat/>
    <w:uiPriority w:val="0"/>
    <w:rPr>
      <w:rFonts w:hint="default" w:ascii="Times New Roman" w:hAnsi="Times New Roman" w:cs="Times New Roman"/>
      <w:color w:val="000000"/>
      <w:sz w:val="21"/>
      <w:szCs w:val="21"/>
      <w:u w:val="none"/>
    </w:rPr>
  </w:style>
  <w:style w:type="character" w:customStyle="1" w:styleId="173">
    <w:name w:val="图表标题下行 Char"/>
    <w:link w:val="174"/>
    <w:qFormat/>
    <w:locked/>
    <w:uiPriority w:val="0"/>
    <w:rPr>
      <w:rFonts w:ascii="宋体" w:hAnsi="宋体"/>
      <w:sz w:val="24"/>
      <w:szCs w:val="24"/>
    </w:rPr>
  </w:style>
  <w:style w:type="paragraph" w:customStyle="1" w:styleId="174">
    <w:name w:val="图表标题下行"/>
    <w:basedOn w:val="1"/>
    <w:link w:val="173"/>
    <w:qFormat/>
    <w:uiPriority w:val="0"/>
    <w:pPr>
      <w:snapToGrid w:val="0"/>
      <w:spacing w:line="360" w:lineRule="auto"/>
      <w:ind w:firstLine="200" w:firstLineChars="200"/>
      <w:jc w:val="right"/>
    </w:pPr>
    <w:rPr>
      <w:rFonts w:ascii="宋体" w:hAnsi="宋体"/>
      <w:sz w:val="24"/>
      <w:szCs w:val="24"/>
    </w:rPr>
  </w:style>
  <w:style w:type="character" w:customStyle="1" w:styleId="175">
    <w:name w:val="Body text|2_"/>
    <w:link w:val="176"/>
    <w:qFormat/>
    <w:uiPriority w:val="0"/>
    <w:rPr>
      <w:rFonts w:ascii="PMingLiU" w:hAnsi="PMingLiU" w:eastAsia="PMingLiU" w:cs="PMingLiU"/>
      <w:sz w:val="26"/>
      <w:szCs w:val="26"/>
      <w:shd w:val="clear" w:color="auto" w:fill="FFFFFF"/>
      <w:lang w:eastAsia="en-US" w:bidi="en-US"/>
    </w:rPr>
  </w:style>
  <w:style w:type="paragraph" w:customStyle="1" w:styleId="176">
    <w:name w:val="Body text|271"/>
    <w:basedOn w:val="1"/>
    <w:link w:val="175"/>
    <w:qFormat/>
    <w:uiPriority w:val="0"/>
    <w:pPr>
      <w:shd w:val="clear" w:color="auto" w:fill="FFFFFF"/>
      <w:spacing w:before="360" w:line="542" w:lineRule="exact"/>
      <w:ind w:hanging="620"/>
      <w:jc w:val="distribute"/>
    </w:pPr>
    <w:rPr>
      <w:rFonts w:ascii="PMingLiU" w:hAnsi="PMingLiU" w:eastAsia="PMingLiU" w:cs="PMingLiU"/>
      <w:sz w:val="26"/>
      <w:szCs w:val="26"/>
      <w:lang w:eastAsia="en-US" w:bidi="en-US"/>
    </w:rPr>
  </w:style>
  <w:style w:type="character" w:customStyle="1" w:styleId="177">
    <w:name w:val="font81"/>
    <w:qFormat/>
    <w:uiPriority w:val="0"/>
    <w:rPr>
      <w:rFonts w:hint="default" w:ascii="Times New Roman" w:hAnsi="Times New Roman" w:cs="Times New Roman"/>
      <w:color w:val="000000"/>
      <w:sz w:val="19"/>
      <w:szCs w:val="19"/>
      <w:u w:val="none"/>
    </w:rPr>
  </w:style>
  <w:style w:type="character" w:customStyle="1" w:styleId="178">
    <w:name w:val="未处理的提及1"/>
    <w:unhideWhenUsed/>
    <w:qFormat/>
    <w:uiPriority w:val="99"/>
    <w:rPr>
      <w:color w:val="605E5C"/>
      <w:shd w:val="clear" w:color="auto" w:fill="E1DFDD"/>
    </w:rPr>
  </w:style>
  <w:style w:type="character" w:customStyle="1" w:styleId="179">
    <w:name w:val="Body text|9 + Spacing 0 pt1"/>
    <w:unhideWhenUsed/>
    <w:qFormat/>
    <w:uiPriority w:val="0"/>
    <w:rPr>
      <w:rFonts w:ascii="PMingLiU" w:hAnsi="PMingLiU" w:eastAsia="PMingLiU" w:cs="PMingLiU"/>
      <w:color w:val="000000"/>
      <w:spacing w:val="0"/>
      <w:w w:val="100"/>
      <w:position w:val="0"/>
      <w:sz w:val="22"/>
      <w:szCs w:val="22"/>
      <w:u w:val="none"/>
      <w:lang w:val="zh-CN" w:eastAsia="zh-CN" w:bidi="zh-CN"/>
    </w:rPr>
  </w:style>
  <w:style w:type="character" w:customStyle="1" w:styleId="180">
    <w:name w:val="标题 2 Char1"/>
    <w:semiHidden/>
    <w:qFormat/>
    <w:uiPriority w:val="9"/>
    <w:rPr>
      <w:rFonts w:hint="default" w:ascii="Calibri Light" w:hAnsi="Calibri Light" w:eastAsia="宋体" w:cs="Times New Roman"/>
      <w:b/>
      <w:bCs/>
      <w:sz w:val="32"/>
      <w:szCs w:val="32"/>
    </w:rPr>
  </w:style>
  <w:style w:type="character" w:customStyle="1" w:styleId="181">
    <w:name w:val="题注 Char1"/>
    <w:qFormat/>
    <w:locked/>
    <w:uiPriority w:val="35"/>
    <w:rPr>
      <w:rFonts w:hint="default" w:ascii="Calibri Light" w:hAnsi="Calibri Light" w:eastAsia="黑体" w:cs="Times New Roman"/>
      <w:kern w:val="2"/>
    </w:rPr>
  </w:style>
  <w:style w:type="character" w:customStyle="1" w:styleId="182">
    <w:name w:val="bluetxt1"/>
    <w:qFormat/>
    <w:uiPriority w:val="0"/>
  </w:style>
  <w:style w:type="character" w:customStyle="1" w:styleId="183">
    <w:name w:val="Body text|9 + SimSun"/>
    <w:unhideWhenUsed/>
    <w:qFormat/>
    <w:uiPriority w:val="0"/>
    <w:rPr>
      <w:rFonts w:ascii="宋体" w:hAnsi="宋体" w:eastAsia="宋体" w:cs="宋体"/>
      <w:color w:val="000000"/>
      <w:spacing w:val="0"/>
      <w:w w:val="100"/>
      <w:position w:val="0"/>
      <w:sz w:val="23"/>
      <w:szCs w:val="23"/>
      <w:shd w:val="clear" w:color="auto" w:fill="FFFFFF"/>
      <w:lang w:val="en-US" w:eastAsia="en-US" w:bidi="en-US"/>
    </w:rPr>
  </w:style>
  <w:style w:type="character" w:customStyle="1" w:styleId="184">
    <w:name w:val="Body text|15_"/>
    <w:link w:val="185"/>
    <w:qFormat/>
    <w:uiPriority w:val="0"/>
    <w:rPr>
      <w:rFonts w:ascii="宋体" w:hAnsi="宋体" w:cs="宋体"/>
      <w:sz w:val="23"/>
      <w:szCs w:val="23"/>
      <w:shd w:val="clear" w:color="auto" w:fill="FFFFFF"/>
      <w:lang w:eastAsia="en-US" w:bidi="en-US"/>
    </w:rPr>
  </w:style>
  <w:style w:type="paragraph" w:customStyle="1" w:styleId="185">
    <w:name w:val="Body text|15"/>
    <w:basedOn w:val="1"/>
    <w:link w:val="184"/>
    <w:qFormat/>
    <w:uiPriority w:val="0"/>
    <w:pPr>
      <w:shd w:val="clear" w:color="auto" w:fill="FFFFFF"/>
      <w:spacing w:line="230" w:lineRule="exact"/>
    </w:pPr>
    <w:rPr>
      <w:rFonts w:ascii="宋体" w:hAnsi="宋体" w:cs="宋体"/>
      <w:sz w:val="23"/>
      <w:szCs w:val="23"/>
      <w:lang w:eastAsia="en-US" w:bidi="en-US"/>
    </w:rPr>
  </w:style>
  <w:style w:type="character" w:customStyle="1" w:styleId="186">
    <w:name w:val="font6"/>
    <w:qFormat/>
    <w:uiPriority w:val="0"/>
  </w:style>
  <w:style w:type="character" w:customStyle="1" w:styleId="187">
    <w:name w:val="first-child"/>
    <w:qFormat/>
    <w:uiPriority w:val="0"/>
  </w:style>
  <w:style w:type="paragraph" w:customStyle="1" w:styleId="188">
    <w:name w:val="正文文本3"/>
    <w:basedOn w:val="1"/>
    <w:qFormat/>
    <w:uiPriority w:val="0"/>
    <w:pPr>
      <w:shd w:val="clear" w:color="auto" w:fill="FFFFFF"/>
      <w:spacing w:before="180" w:line="466" w:lineRule="exact"/>
      <w:ind w:hanging="560"/>
      <w:jc w:val="distribute"/>
    </w:pPr>
    <w:rPr>
      <w:rFonts w:ascii="Arial Unicode MS" w:hAnsi="Arial Unicode MS" w:eastAsia="Arial Unicode MS" w:cs="Arial Unicode MS"/>
      <w:color w:val="000000"/>
      <w:sz w:val="23"/>
      <w:szCs w:val="23"/>
      <w:lang w:val="zh-CN"/>
    </w:rPr>
  </w:style>
  <w:style w:type="paragraph" w:customStyle="1" w:styleId="189">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190">
    <w:name w:val="标题 21"/>
    <w:basedOn w:val="1"/>
    <w:next w:val="1"/>
    <w:qFormat/>
    <w:uiPriority w:val="9"/>
    <w:pPr>
      <w:keepNext/>
      <w:keepLines/>
      <w:spacing w:before="260" w:after="260" w:line="415" w:lineRule="auto"/>
      <w:outlineLvl w:val="1"/>
    </w:pPr>
    <w:rPr>
      <w:rFonts w:ascii="Calibri Light" w:hAnsi="Calibri Light"/>
      <w:b/>
      <w:bCs/>
      <w:sz w:val="32"/>
      <w:szCs w:val="32"/>
    </w:rPr>
  </w:style>
  <w:style w:type="paragraph" w:customStyle="1" w:styleId="191">
    <w:name w:val="Char Char2"/>
    <w:basedOn w:val="24"/>
    <w:next w:val="1"/>
    <w:qFormat/>
    <w:uiPriority w:val="0"/>
    <w:pPr>
      <w:spacing w:before="60" w:after="0" w:line="460" w:lineRule="exact"/>
      <w:ind w:left="0" w:leftChars="0" w:firstLine="480" w:firstLineChars="200"/>
    </w:pPr>
    <w:rPr>
      <w:bCs/>
      <w:kern w:val="2"/>
      <w:sz w:val="24"/>
    </w:rPr>
  </w:style>
  <w:style w:type="paragraph" w:customStyle="1" w:styleId="192">
    <w:name w:val="简单回函地址"/>
    <w:basedOn w:val="1"/>
    <w:qFormat/>
    <w:uiPriority w:val="0"/>
  </w:style>
  <w:style w:type="paragraph" w:customStyle="1" w:styleId="193">
    <w:name w:val="DAS正文"/>
    <w:basedOn w:val="1"/>
    <w:qFormat/>
    <w:uiPriority w:val="0"/>
    <w:pPr>
      <w:ind w:right="181" w:firstLine="480"/>
    </w:pPr>
    <w:rPr>
      <w:rFonts w:ascii="Verdana" w:hAnsi="Verdana"/>
      <w:szCs w:val="24"/>
    </w:rPr>
  </w:style>
  <w:style w:type="paragraph" w:customStyle="1" w:styleId="194">
    <w:name w:val="三级"/>
    <w:basedOn w:val="24"/>
    <w:next w:val="1"/>
    <w:qFormat/>
    <w:uiPriority w:val="0"/>
    <w:pPr>
      <w:spacing w:before="60" w:after="0" w:line="460" w:lineRule="exact"/>
      <w:ind w:left="0" w:leftChars="0" w:firstLine="480" w:firstLineChars="200"/>
    </w:pPr>
    <w:rPr>
      <w:bCs/>
      <w:sz w:val="24"/>
    </w:rPr>
  </w:style>
  <w:style w:type="paragraph" w:customStyle="1" w:styleId="195">
    <w:name w:val="标题 41"/>
    <w:basedOn w:val="1"/>
    <w:next w:val="1"/>
    <w:qFormat/>
    <w:uiPriority w:val="9"/>
    <w:pPr>
      <w:keepNext/>
      <w:keepLines/>
      <w:spacing w:before="280" w:after="290" w:line="374" w:lineRule="auto"/>
      <w:outlineLvl w:val="3"/>
    </w:pPr>
    <w:rPr>
      <w:rFonts w:ascii="Calibri Light" w:hAnsi="Calibri Light"/>
      <w:b/>
      <w:bCs/>
      <w:sz w:val="28"/>
      <w:szCs w:val="28"/>
    </w:rPr>
  </w:style>
  <w:style w:type="paragraph" w:styleId="196">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197">
    <w:name w:val="xl26"/>
    <w:basedOn w:val="1"/>
    <w:qFormat/>
    <w:uiPriority w:val="0"/>
    <w:pPr>
      <w:widowControl/>
      <w:spacing w:before="100" w:after="100"/>
      <w:jc w:val="center"/>
    </w:pPr>
    <w:rPr>
      <w:rFonts w:ascii="宋体"/>
      <w:sz w:val="24"/>
    </w:rPr>
  </w:style>
  <w:style w:type="paragraph" w:customStyle="1" w:styleId="198">
    <w:name w:val="此正文"/>
    <w:basedOn w:val="1"/>
    <w:qFormat/>
    <w:uiPriority w:val="0"/>
    <w:pPr>
      <w:spacing w:line="360" w:lineRule="auto"/>
      <w:ind w:firstLine="200" w:firstLineChars="200"/>
    </w:pPr>
    <w:rPr>
      <w:sz w:val="24"/>
      <w:szCs w:val="24"/>
    </w:rPr>
  </w:style>
  <w:style w:type="paragraph" w:customStyle="1" w:styleId="199">
    <w:name w:val="Char Char21"/>
    <w:basedOn w:val="24"/>
    <w:next w:val="1"/>
    <w:qFormat/>
    <w:uiPriority w:val="0"/>
    <w:pPr>
      <w:spacing w:before="60" w:after="0" w:line="460" w:lineRule="exact"/>
      <w:ind w:left="0" w:leftChars="0" w:firstLine="480" w:firstLineChars="200"/>
    </w:pPr>
    <w:rPr>
      <w:bCs/>
      <w:sz w:val="24"/>
    </w:rPr>
  </w:style>
  <w:style w:type="paragraph" w:customStyle="1" w:styleId="200">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01">
    <w:name w:val="表内式样"/>
    <w:qFormat/>
    <w:uiPriority w:val="0"/>
    <w:pPr>
      <w:widowControl w:val="0"/>
      <w:jc w:val="center"/>
    </w:pPr>
    <w:rPr>
      <w:rFonts w:hint="eastAsia" w:ascii="宋体" w:hAnsi="宋体" w:eastAsia="宋体" w:cs="Times New Roman"/>
      <w:kern w:val="2"/>
      <w:sz w:val="21"/>
      <w:szCs w:val="24"/>
      <w:lang w:val="en-US" w:eastAsia="zh-CN" w:bidi="ar-SA"/>
    </w:rPr>
  </w:style>
  <w:style w:type="paragraph" w:customStyle="1" w:styleId="202">
    <w:name w:val="表5.4-1"/>
    <w:basedOn w:val="1"/>
    <w:qFormat/>
    <w:uiPriority w:val="0"/>
    <w:pPr>
      <w:adjustRightInd w:val="0"/>
      <w:snapToGrid w:val="0"/>
      <w:jc w:val="center"/>
    </w:pPr>
    <w:rPr>
      <w:b/>
      <w:szCs w:val="24"/>
    </w:rPr>
  </w:style>
  <w:style w:type="paragraph" w:customStyle="1" w:styleId="203">
    <w:name w:val="标题 91"/>
    <w:basedOn w:val="1"/>
    <w:next w:val="1"/>
    <w:unhideWhenUsed/>
    <w:qFormat/>
    <w:uiPriority w:val="9"/>
    <w:pPr>
      <w:keepNext/>
      <w:keepLines/>
      <w:spacing w:before="240" w:after="64" w:line="320" w:lineRule="auto"/>
      <w:ind w:left="1584" w:hanging="1584" w:firstLineChars="200"/>
      <w:outlineLvl w:val="8"/>
    </w:pPr>
    <w:rPr>
      <w:rFonts w:ascii="Calibri Light" w:hAnsi="Calibri Light"/>
      <w:sz w:val="24"/>
      <w:szCs w:val="21"/>
    </w:rPr>
  </w:style>
  <w:style w:type="paragraph" w:customStyle="1" w:styleId="204">
    <w:name w:val="标题 22"/>
    <w:basedOn w:val="3"/>
    <w:next w:val="1"/>
    <w:qFormat/>
    <w:uiPriority w:val="0"/>
    <w:pPr>
      <w:pageBreakBefore/>
      <w:spacing w:before="156" w:beforeLines="50" w:after="156" w:afterLines="50" w:line="240" w:lineRule="auto"/>
    </w:pPr>
    <w:rPr>
      <w:rFonts w:ascii="Times New Roman" w:hAnsi="Times New Roman" w:eastAsia="黑体"/>
      <w:sz w:val="24"/>
    </w:rPr>
  </w:style>
  <w:style w:type="paragraph" w:customStyle="1" w:styleId="205">
    <w:name w:val="列表段落2"/>
    <w:basedOn w:val="1"/>
    <w:qFormat/>
    <w:uiPriority w:val="99"/>
    <w:pPr>
      <w:ind w:firstLine="420"/>
    </w:pPr>
    <w:rPr>
      <w:szCs w:val="24"/>
    </w:rPr>
  </w:style>
  <w:style w:type="paragraph" w:customStyle="1" w:styleId="206">
    <w:name w:val="CM5"/>
    <w:basedOn w:val="1"/>
    <w:next w:val="1"/>
    <w:qFormat/>
    <w:uiPriority w:val="99"/>
    <w:pPr>
      <w:autoSpaceDE w:val="0"/>
      <w:autoSpaceDN w:val="0"/>
      <w:adjustRightInd w:val="0"/>
      <w:spacing w:line="598" w:lineRule="atLeast"/>
      <w:jc w:val="left"/>
    </w:pPr>
    <w:rPr>
      <w:rFonts w:ascii="黑体" w:eastAsia="黑体"/>
      <w:sz w:val="24"/>
      <w:szCs w:val="24"/>
    </w:rPr>
  </w:style>
  <w:style w:type="paragraph" w:customStyle="1" w:styleId="207">
    <w:name w:val="WPSOffice手动目录 1"/>
    <w:qFormat/>
    <w:uiPriority w:val="0"/>
    <w:rPr>
      <w:rFonts w:ascii="Times New Roman" w:hAnsi="Times New Roman" w:eastAsia="宋体" w:cs="Times New Roman"/>
      <w:lang w:val="en-US" w:eastAsia="zh-CN" w:bidi="ar-SA"/>
    </w:rPr>
  </w:style>
  <w:style w:type="paragraph" w:customStyle="1" w:styleId="208">
    <w:name w:val="00正文zw"/>
    <w:basedOn w:val="1"/>
    <w:qFormat/>
    <w:uiPriority w:val="99"/>
    <w:pPr>
      <w:widowControl/>
      <w:spacing w:line="480" w:lineRule="exact"/>
      <w:ind w:firstLine="200" w:firstLineChars="200"/>
      <w:jc w:val="left"/>
    </w:pPr>
    <w:rPr>
      <w:color w:val="000000"/>
      <w:sz w:val="24"/>
      <w:szCs w:val="24"/>
    </w:rPr>
  </w:style>
  <w:style w:type="paragraph" w:customStyle="1" w:styleId="209">
    <w:name w:val="表文"/>
    <w:basedOn w:val="18"/>
    <w:next w:val="13"/>
    <w:qFormat/>
    <w:uiPriority w:val="0"/>
    <w:pPr>
      <w:spacing w:after="0"/>
      <w:jc w:val="center"/>
    </w:pPr>
    <w:rPr>
      <w:rFonts w:eastAsia="仿宋_GB2312"/>
    </w:rPr>
  </w:style>
  <w:style w:type="paragraph" w:customStyle="1" w:styleId="210">
    <w:name w:val="p0"/>
    <w:basedOn w:val="1"/>
    <w:qFormat/>
    <w:uiPriority w:val="99"/>
    <w:pPr>
      <w:widowControl/>
    </w:pPr>
    <w:rPr>
      <w:szCs w:val="21"/>
    </w:rPr>
  </w:style>
  <w:style w:type="paragraph" w:customStyle="1" w:styleId="211">
    <w:name w:val="标题 81"/>
    <w:basedOn w:val="1"/>
    <w:next w:val="1"/>
    <w:unhideWhenUsed/>
    <w:qFormat/>
    <w:uiPriority w:val="9"/>
    <w:pPr>
      <w:keepNext/>
      <w:keepLines/>
      <w:spacing w:before="240" w:after="64" w:line="320" w:lineRule="auto"/>
      <w:ind w:left="1440" w:hanging="1440" w:firstLineChars="200"/>
      <w:outlineLvl w:val="7"/>
    </w:pPr>
    <w:rPr>
      <w:rFonts w:ascii="Calibri Light" w:hAnsi="Calibri Light"/>
      <w:sz w:val="24"/>
      <w:szCs w:val="24"/>
    </w:rPr>
  </w:style>
  <w:style w:type="paragraph" w:customStyle="1" w:styleId="212">
    <w:name w:val="结果表格"/>
    <w:basedOn w:val="1"/>
    <w:qFormat/>
    <w:uiPriority w:val="0"/>
    <w:pPr>
      <w:jc w:val="left"/>
    </w:pPr>
    <w:rPr>
      <w:sz w:val="24"/>
    </w:rPr>
  </w:style>
  <w:style w:type="paragraph" w:customStyle="1" w:styleId="213">
    <w:name w:val="表格标题"/>
    <w:basedOn w:val="1"/>
    <w:qFormat/>
    <w:uiPriority w:val="0"/>
    <w:pPr>
      <w:spacing w:before="60" w:line="460" w:lineRule="exact"/>
      <w:jc w:val="center"/>
    </w:pPr>
    <w:rPr>
      <w:sz w:val="24"/>
      <w:szCs w:val="24"/>
    </w:rPr>
  </w:style>
  <w:style w:type="paragraph" w:customStyle="1" w:styleId="214">
    <w:name w:val="修订1"/>
    <w:semiHidden/>
    <w:qFormat/>
    <w:uiPriority w:val="99"/>
    <w:rPr>
      <w:rFonts w:ascii="Times New Roman" w:hAnsi="Times New Roman" w:eastAsia="宋体" w:cs="Times New Roman"/>
      <w:kern w:val="2"/>
      <w:sz w:val="21"/>
      <w:szCs w:val="24"/>
      <w:lang w:val="en-US" w:eastAsia="zh-CN" w:bidi="ar-SA"/>
    </w:rPr>
  </w:style>
  <w:style w:type="paragraph" w:customStyle="1" w:styleId="215">
    <w:name w:val="Body Text 21"/>
    <w:basedOn w:val="1"/>
    <w:qFormat/>
    <w:uiPriority w:val="0"/>
    <w:pPr>
      <w:adjustRightInd w:val="0"/>
      <w:textAlignment w:val="baseline"/>
    </w:pPr>
    <w:rPr>
      <w:rFonts w:ascii="仿宋_GB2312" w:eastAsia="仿宋体"/>
      <w:kern w:val="2"/>
      <w:sz w:val="24"/>
    </w:rPr>
  </w:style>
  <w:style w:type="paragraph" w:customStyle="1" w:styleId="216">
    <w:name w:val="其他"/>
    <w:basedOn w:val="1"/>
    <w:qFormat/>
    <w:uiPriority w:val="0"/>
    <w:pPr>
      <w:shd w:val="clear" w:color="auto" w:fill="FFFFFF"/>
      <w:spacing w:after="120" w:line="430" w:lineRule="auto"/>
      <w:ind w:firstLine="400"/>
      <w:jc w:val="left"/>
    </w:pPr>
    <w:rPr>
      <w:rFonts w:ascii="宋体" w:hAnsi="宋体" w:cs="宋体"/>
      <w:color w:val="000000"/>
      <w:sz w:val="22"/>
      <w:lang w:val="zh-CN" w:bidi="zh-CN"/>
    </w:rPr>
  </w:style>
  <w:style w:type="paragraph" w:customStyle="1" w:styleId="217">
    <w:name w:val="默认段落字体 Para Char Char Char Char Char Char Char Char Char1 Char Char Char Char"/>
    <w:basedOn w:val="1"/>
    <w:qFormat/>
    <w:uiPriority w:val="99"/>
    <w:pPr>
      <w:spacing w:line="360" w:lineRule="auto"/>
      <w:ind w:firstLine="200" w:firstLineChars="200"/>
    </w:pPr>
    <w:rPr>
      <w:rFonts w:ascii="Tahoma" w:hAnsi="Tahoma"/>
      <w:sz w:val="24"/>
    </w:rPr>
  </w:style>
  <w:style w:type="paragraph" w:customStyle="1" w:styleId="218">
    <w:name w:val="表"/>
    <w:basedOn w:val="1"/>
    <w:qFormat/>
    <w:uiPriority w:val="0"/>
    <w:pPr>
      <w:snapToGrid w:val="0"/>
      <w:jc w:val="center"/>
    </w:pPr>
    <w:rPr>
      <w:spacing w:val="2"/>
      <w:sz w:val="24"/>
    </w:rPr>
  </w:style>
  <w:style w:type="paragraph" w:customStyle="1" w:styleId="219">
    <w:name w:val="正文my"/>
    <w:basedOn w:val="19"/>
    <w:qFormat/>
    <w:uiPriority w:val="0"/>
    <w:pPr>
      <w:widowControl/>
      <w:adjustRightInd w:val="0"/>
      <w:snapToGrid w:val="0"/>
      <w:spacing w:before="60" w:after="0" w:line="480" w:lineRule="exact"/>
      <w:ind w:left="0" w:leftChars="0" w:firstLine="200" w:firstLineChars="200"/>
      <w:jc w:val="left"/>
    </w:pPr>
    <w:rPr>
      <w:rFonts w:ascii="Tahoma" w:hAnsi="Tahoma" w:eastAsia="微软雅黑"/>
      <w:sz w:val="24"/>
      <w:szCs w:val="22"/>
    </w:rPr>
  </w:style>
  <w:style w:type="paragraph" w:customStyle="1" w:styleId="220">
    <w:name w:val="列出段落1"/>
    <w:basedOn w:val="1"/>
    <w:qFormat/>
    <w:uiPriority w:val="34"/>
    <w:pPr>
      <w:ind w:firstLine="420" w:firstLineChars="200"/>
    </w:pPr>
    <w:rPr>
      <w:szCs w:val="24"/>
    </w:rPr>
  </w:style>
  <w:style w:type="paragraph" w:customStyle="1" w:styleId="221">
    <w:name w:val="标题 61"/>
    <w:basedOn w:val="1"/>
    <w:next w:val="1"/>
    <w:unhideWhenUsed/>
    <w:qFormat/>
    <w:uiPriority w:val="9"/>
    <w:pPr>
      <w:keepNext/>
      <w:keepLines/>
      <w:spacing w:before="240" w:after="64" w:line="320" w:lineRule="auto"/>
      <w:ind w:left="1152" w:hanging="1152" w:firstLineChars="200"/>
      <w:outlineLvl w:val="5"/>
    </w:pPr>
    <w:rPr>
      <w:rFonts w:ascii="Calibri Light" w:hAnsi="Calibri Light"/>
      <w:b/>
      <w:bCs/>
      <w:sz w:val="24"/>
      <w:szCs w:val="24"/>
    </w:rPr>
  </w:style>
  <w:style w:type="paragraph" w:customStyle="1" w:styleId="222">
    <w:name w:val="三级标题"/>
    <w:basedOn w:val="1"/>
    <w:qFormat/>
    <w:uiPriority w:val="0"/>
    <w:pPr>
      <w:spacing w:before="120" w:after="120"/>
      <w:outlineLvl w:val="0"/>
    </w:pPr>
    <w:rPr>
      <w:sz w:val="27"/>
    </w:rPr>
  </w:style>
  <w:style w:type="paragraph" w:customStyle="1" w:styleId="223">
    <w:name w:val="+正文"/>
    <w:basedOn w:val="1"/>
    <w:qFormat/>
    <w:uiPriority w:val="0"/>
    <w:pPr>
      <w:spacing w:line="360" w:lineRule="auto"/>
      <w:ind w:firstLine="200"/>
    </w:pPr>
  </w:style>
  <w:style w:type="paragraph" w:customStyle="1" w:styleId="224">
    <w:name w:val="Char Char1"/>
    <w:basedOn w:val="1"/>
    <w:qFormat/>
    <w:uiPriority w:val="0"/>
    <w:pPr>
      <w:ind w:firstLine="200" w:firstLineChars="200"/>
      <w:jc w:val="left"/>
    </w:pPr>
    <w:rPr>
      <w:rFonts w:cs="宋体"/>
      <w:szCs w:val="24"/>
    </w:rPr>
  </w:style>
  <w:style w:type="paragraph" w:customStyle="1" w:styleId="225">
    <w:name w:val="图题"/>
    <w:qFormat/>
    <w:uiPriority w:val="0"/>
    <w:pPr>
      <w:widowControl w:val="0"/>
      <w:adjustRightInd w:val="0"/>
      <w:spacing w:before="100" w:after="215"/>
      <w:jc w:val="center"/>
    </w:pPr>
    <w:rPr>
      <w:rFonts w:ascii="黑体" w:hAnsi="Times New Roman" w:eastAsia="黑体" w:cs="Times New Roman"/>
      <w:kern w:val="18"/>
      <w:sz w:val="18"/>
      <w:lang w:val="en-US" w:eastAsia="zh-CN" w:bidi="ar-SA"/>
    </w:rPr>
  </w:style>
  <w:style w:type="paragraph" w:customStyle="1" w:styleId="226">
    <w:name w:val="二级标题"/>
    <w:basedOn w:val="1"/>
    <w:qFormat/>
    <w:uiPriority w:val="0"/>
    <w:pPr>
      <w:spacing w:before="60" w:line="460" w:lineRule="exact"/>
      <w:outlineLvl w:val="1"/>
    </w:pPr>
    <w:rPr>
      <w:b/>
      <w:sz w:val="28"/>
      <w:szCs w:val="24"/>
    </w:rPr>
  </w:style>
  <w:style w:type="paragraph" w:customStyle="1" w:styleId="227">
    <w:name w:val="列出段落"/>
    <w:basedOn w:val="1"/>
    <w:qFormat/>
    <w:uiPriority w:val="0"/>
    <w:pPr>
      <w:ind w:firstLine="420" w:firstLineChars="200"/>
    </w:pPr>
    <w:rPr>
      <w:szCs w:val="24"/>
    </w:rPr>
  </w:style>
  <w:style w:type="paragraph" w:customStyle="1" w:styleId="228">
    <w:name w:val="默认段落字体 Para Char Char Char Char Char Char Char"/>
    <w:basedOn w:val="1"/>
    <w:qFormat/>
    <w:uiPriority w:val="0"/>
    <w:pPr>
      <w:adjustRightInd w:val="0"/>
      <w:spacing w:line="360" w:lineRule="auto"/>
      <w:textAlignment w:val="baseline"/>
    </w:pPr>
    <w:rPr>
      <w:szCs w:val="24"/>
    </w:rPr>
  </w:style>
  <w:style w:type="paragraph" w:customStyle="1" w:styleId="229">
    <w:name w:val="报告正文-非连续目录"/>
    <w:basedOn w:val="1"/>
    <w:qFormat/>
    <w:uiPriority w:val="0"/>
    <w:pPr>
      <w:spacing w:before="240" w:line="440" w:lineRule="exact"/>
      <w:ind w:firstLine="482"/>
    </w:pPr>
    <w:rPr>
      <w:rFonts w:ascii="Arial" w:hAnsi="Arial"/>
      <w:sz w:val="24"/>
      <w:szCs w:val="24"/>
    </w:rPr>
  </w:style>
  <w:style w:type="paragraph" w:customStyle="1" w:styleId="230">
    <w:name w:val="reader-word-layer reader-word-s1-0"/>
    <w:basedOn w:val="1"/>
    <w:qFormat/>
    <w:uiPriority w:val="0"/>
    <w:pPr>
      <w:widowControl/>
      <w:spacing w:before="100" w:beforeAutospacing="1" w:after="100" w:afterAutospacing="1"/>
      <w:jc w:val="left"/>
    </w:pPr>
    <w:rPr>
      <w:rFonts w:ascii="宋体" w:hAnsi="宋体" w:cs="宋体"/>
      <w:sz w:val="24"/>
      <w:szCs w:val="24"/>
    </w:rPr>
  </w:style>
  <w:style w:type="paragraph" w:customStyle="1" w:styleId="231">
    <w:name w:val="样式 标题 1 + 段前: 0.5 行 段后: 0.5 行1"/>
    <w:basedOn w:val="3"/>
    <w:qFormat/>
    <w:uiPriority w:val="99"/>
    <w:pPr>
      <w:keepLines w:val="0"/>
      <w:widowControl/>
      <w:tabs>
        <w:tab w:val="left" w:pos="360"/>
      </w:tabs>
      <w:spacing w:before="360" w:beforeLines="50" w:after="120" w:afterLines="50" w:line="360" w:lineRule="exact"/>
      <w:jc w:val="center"/>
    </w:pPr>
    <w:rPr>
      <w:rFonts w:ascii="Times New Roman" w:hAnsi="Times New Roman" w:eastAsia="黑体" w:cs="宋体"/>
      <w:b w:val="0"/>
      <w:bCs w:val="0"/>
      <w:kern w:val="0"/>
      <w:sz w:val="21"/>
      <w:szCs w:val="20"/>
    </w:rPr>
  </w:style>
  <w:style w:type="paragraph" w:customStyle="1" w:styleId="232">
    <w:name w:val="xl22"/>
    <w:basedOn w:val="1"/>
    <w:qFormat/>
    <w:uiPriority w:val="0"/>
    <w:pPr>
      <w:widowControl/>
      <w:spacing w:before="100" w:after="100"/>
      <w:jc w:val="center"/>
    </w:pPr>
    <w:rPr>
      <w:sz w:val="24"/>
      <w:szCs w:val="24"/>
    </w:rPr>
  </w:style>
  <w:style w:type="paragraph" w:customStyle="1" w:styleId="233">
    <w:name w:val="样式 样式 正文1 + 段前: 0.1 行 + 段前: 0.1 行"/>
    <w:basedOn w:val="1"/>
    <w:qFormat/>
    <w:uiPriority w:val="0"/>
    <w:pPr>
      <w:snapToGrid w:val="0"/>
      <w:spacing w:beforeLines="10" w:line="440" w:lineRule="atLeast"/>
      <w:ind w:firstLine="567"/>
    </w:pPr>
    <w:rPr>
      <w:sz w:val="24"/>
    </w:rPr>
  </w:style>
  <w:style w:type="paragraph" w:customStyle="1" w:styleId="234">
    <w:name w:val="列表段落1"/>
    <w:basedOn w:val="1"/>
    <w:qFormat/>
    <w:uiPriority w:val="34"/>
    <w:pPr>
      <w:spacing w:line="360" w:lineRule="auto"/>
      <w:ind w:firstLine="420" w:firstLineChars="200"/>
    </w:pPr>
    <w:rPr>
      <w:sz w:val="24"/>
      <w:szCs w:val="24"/>
    </w:rPr>
  </w:style>
  <w:style w:type="paragraph" w:customStyle="1" w:styleId="235">
    <w:name w:val="表头 图名"/>
    <w:basedOn w:val="1"/>
    <w:qFormat/>
    <w:uiPriority w:val="99"/>
    <w:pPr>
      <w:spacing w:line="360" w:lineRule="auto"/>
      <w:ind w:firstLine="200" w:firstLineChars="200"/>
    </w:pPr>
    <w:rPr>
      <w:sz w:val="24"/>
      <w:szCs w:val="24"/>
    </w:rPr>
  </w:style>
  <w:style w:type="paragraph" w:customStyle="1" w:styleId="236">
    <w:name w:val="表图内容"/>
    <w:basedOn w:val="1"/>
    <w:qFormat/>
    <w:uiPriority w:val="99"/>
    <w:pPr>
      <w:spacing w:line="360" w:lineRule="auto"/>
      <w:ind w:firstLine="200" w:firstLineChars="200"/>
    </w:pPr>
    <w:rPr>
      <w:sz w:val="24"/>
      <w:szCs w:val="24"/>
    </w:rPr>
  </w:style>
  <w:style w:type="paragraph" w:customStyle="1" w:styleId="237">
    <w:name w:val="表格文字"/>
    <w:basedOn w:val="1"/>
    <w:next w:val="18"/>
    <w:qFormat/>
    <w:uiPriority w:val="0"/>
    <w:pPr>
      <w:spacing w:before="80" w:after="80"/>
    </w:pPr>
    <w:rPr>
      <w:rFonts w:ascii="Arial" w:hAnsi="Arial" w:eastAsia="仿宋_GB2312"/>
      <w:spacing w:val="10"/>
      <w:sz w:val="28"/>
      <w:szCs w:val="24"/>
    </w:rPr>
  </w:style>
  <w:style w:type="paragraph" w:customStyle="1" w:styleId="238">
    <w:name w:val="标题五"/>
    <w:basedOn w:val="1"/>
    <w:qFormat/>
    <w:uiPriority w:val="99"/>
    <w:pPr>
      <w:tabs>
        <w:tab w:val="left" w:pos="567"/>
      </w:tabs>
      <w:spacing w:line="440" w:lineRule="exact"/>
      <w:ind w:firstLine="200" w:firstLineChars="200"/>
    </w:pPr>
    <w:rPr>
      <w:rFonts w:ascii="Arial" w:hAnsi="Arial"/>
      <w:snapToGrid w:val="0"/>
      <w:sz w:val="24"/>
      <w:szCs w:val="21"/>
    </w:rPr>
  </w:style>
  <w:style w:type="paragraph" w:customStyle="1" w:styleId="239">
    <w:name w:val="CM4"/>
    <w:basedOn w:val="1"/>
    <w:next w:val="1"/>
    <w:qFormat/>
    <w:uiPriority w:val="99"/>
    <w:pPr>
      <w:autoSpaceDE w:val="0"/>
      <w:autoSpaceDN w:val="0"/>
      <w:adjustRightInd w:val="0"/>
      <w:spacing w:line="600" w:lineRule="atLeast"/>
      <w:jc w:val="left"/>
    </w:pPr>
    <w:rPr>
      <w:rFonts w:ascii="黑体" w:eastAsia="黑体"/>
      <w:sz w:val="24"/>
      <w:szCs w:val="24"/>
    </w:rPr>
  </w:style>
  <w:style w:type="paragraph" w:customStyle="1" w:styleId="240">
    <w:name w:val="样式 正文001 + 首行缩进:  2 字符1"/>
    <w:basedOn w:val="1"/>
    <w:qFormat/>
    <w:uiPriority w:val="0"/>
    <w:pPr>
      <w:spacing w:after="100" w:afterAutospacing="1" w:line="460" w:lineRule="exact"/>
      <w:ind w:firstLine="480" w:firstLineChars="200"/>
    </w:pPr>
    <w:rPr>
      <w:rFonts w:cs="宋体"/>
      <w:szCs w:val="24"/>
    </w:rPr>
  </w:style>
  <w:style w:type="paragraph" w:customStyle="1" w:styleId="241">
    <w:name w:val="表文字"/>
    <w:qFormat/>
    <w:uiPriority w:val="99"/>
    <w:pPr>
      <w:widowControl w:val="0"/>
      <w:topLinePunct/>
      <w:adjustRightInd w:val="0"/>
      <w:snapToGrid w:val="0"/>
      <w:spacing w:line="270" w:lineRule="exact"/>
      <w:jc w:val="center"/>
    </w:pPr>
    <w:rPr>
      <w:rFonts w:ascii="Times New Roman" w:hAnsi="Times New Roman" w:eastAsia="宋体" w:cs="Times New Roman"/>
      <w:kern w:val="18"/>
      <w:sz w:val="18"/>
      <w:lang w:val="en-GB" w:eastAsia="zh-CN" w:bidi="ar-SA"/>
    </w:rPr>
  </w:style>
  <w:style w:type="paragraph" w:customStyle="1" w:styleId="242">
    <w:name w:val="p15"/>
    <w:basedOn w:val="1"/>
    <w:qFormat/>
    <w:uiPriority w:val="0"/>
    <w:pPr>
      <w:widowControl/>
      <w:spacing w:line="5280" w:lineRule="auto"/>
      <w:ind w:firstLine="482"/>
    </w:pPr>
    <w:rPr>
      <w:sz w:val="24"/>
      <w:szCs w:val="24"/>
    </w:rPr>
  </w:style>
  <w:style w:type="paragraph" w:customStyle="1" w:styleId="243">
    <w:name w:val="表注"/>
    <w:qFormat/>
    <w:uiPriority w:val="99"/>
    <w:pPr>
      <w:adjustRightInd w:val="0"/>
      <w:snapToGrid w:val="0"/>
      <w:spacing w:line="200" w:lineRule="exact"/>
      <w:jc w:val="both"/>
    </w:pPr>
    <w:rPr>
      <w:rFonts w:ascii="Times New Roman" w:hAnsi="Times New Roman" w:eastAsia="仿宋_GB2312" w:cs="Times New Roman"/>
      <w:kern w:val="15"/>
      <w:sz w:val="15"/>
      <w:lang w:val="en-US" w:eastAsia="zh-CN" w:bidi="ar-SA"/>
    </w:rPr>
  </w:style>
  <w:style w:type="paragraph" w:customStyle="1" w:styleId="244">
    <w:name w:val="Table Paragraph"/>
    <w:basedOn w:val="1"/>
    <w:qFormat/>
    <w:uiPriority w:val="1"/>
    <w:pPr>
      <w:autoSpaceDE w:val="0"/>
      <w:autoSpaceDN w:val="0"/>
      <w:jc w:val="center"/>
    </w:pPr>
    <w:rPr>
      <w:rFonts w:ascii="Noto Sans CJK JP Black" w:hAnsi="Noto Sans CJK JP Black" w:eastAsia="Noto Sans CJK JP Black" w:cs="Noto Sans CJK JP Black"/>
      <w:sz w:val="22"/>
    </w:rPr>
  </w:style>
  <w:style w:type="paragraph" w:customStyle="1" w:styleId="245">
    <w:name w:val="_Style 3"/>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246">
    <w:name w:val="表4.1-1"/>
    <w:basedOn w:val="1"/>
    <w:qFormat/>
    <w:uiPriority w:val="0"/>
    <w:pPr>
      <w:ind w:left="420" w:hanging="420"/>
      <w:jc w:val="center"/>
    </w:pPr>
    <w:rPr>
      <w:b/>
      <w:szCs w:val="24"/>
    </w:rPr>
  </w:style>
  <w:style w:type="paragraph" w:customStyle="1" w:styleId="247">
    <w:name w:val="_Style 2"/>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248">
    <w:name w:val="正文首行缩进 2 + Times New Roman"/>
    <w:basedOn w:val="1"/>
    <w:qFormat/>
    <w:uiPriority w:val="0"/>
    <w:pPr>
      <w:tabs>
        <w:tab w:val="left" w:pos="0"/>
        <w:tab w:val="left" w:pos="3150"/>
      </w:tabs>
      <w:autoSpaceDE w:val="0"/>
      <w:autoSpaceDN w:val="0"/>
      <w:adjustRightInd w:val="0"/>
      <w:snapToGrid w:val="0"/>
      <w:spacing w:line="480" w:lineRule="exact"/>
      <w:ind w:firstLine="480" w:firstLineChars="200"/>
    </w:pPr>
    <w:rPr>
      <w:rFonts w:ascii="Arial" w:hAnsi="Arial"/>
      <w:color w:val="000000"/>
      <w:sz w:val="24"/>
      <w:szCs w:val="24"/>
    </w:rPr>
  </w:style>
  <w:style w:type="paragraph" w:customStyle="1" w:styleId="249">
    <w:name w:val="报告正文"/>
    <w:basedOn w:val="1"/>
    <w:qFormat/>
    <w:uiPriority w:val="0"/>
    <w:pPr>
      <w:adjustRightInd w:val="0"/>
      <w:spacing w:before="78" w:beforeLines="25" w:line="360" w:lineRule="auto"/>
      <w:ind w:firstLine="482"/>
      <w:textAlignment w:val="baseline"/>
    </w:pPr>
    <w:rPr>
      <w:rFonts w:ascii="宋体" w:cs="宋体"/>
      <w:snapToGrid w:val="0"/>
      <w:kern w:val="24"/>
      <w:sz w:val="24"/>
      <w:szCs w:val="21"/>
    </w:rPr>
  </w:style>
  <w:style w:type="paragraph" w:customStyle="1" w:styleId="250">
    <w:name w:val="修订2"/>
    <w:semiHidden/>
    <w:qFormat/>
    <w:uiPriority w:val="99"/>
    <w:rPr>
      <w:rFonts w:ascii="Times New Roman" w:hAnsi="Times New Roman" w:eastAsia="宋体" w:cs="Times New Roman"/>
      <w:kern w:val="2"/>
      <w:sz w:val="21"/>
      <w:szCs w:val="24"/>
      <w:lang w:val="en-US" w:eastAsia="zh-CN" w:bidi="ar-SA"/>
    </w:rPr>
  </w:style>
  <w:style w:type="paragraph" w:customStyle="1" w:styleId="251">
    <w:name w:val="第六节常用表格文字"/>
    <w:next w:val="1"/>
    <w:qFormat/>
    <w:uiPriority w:val="0"/>
    <w:pPr>
      <w:widowControl w:val="0"/>
      <w:jc w:val="center"/>
    </w:pPr>
    <w:rPr>
      <w:rFonts w:ascii="宋体" w:hAnsi="Times New Roman" w:eastAsia="仿宋_GB2312" w:cs="Times New Roman"/>
      <w:kern w:val="2"/>
      <w:sz w:val="21"/>
      <w:szCs w:val="24"/>
      <w:lang w:val="en-US" w:eastAsia="zh-CN" w:bidi="ar-SA"/>
    </w:rPr>
  </w:style>
  <w:style w:type="paragraph" w:customStyle="1" w:styleId="252">
    <w:name w:val="图表文字"/>
    <w:basedOn w:val="1"/>
    <w:qFormat/>
    <w:uiPriority w:val="0"/>
    <w:pPr>
      <w:jc w:val="center"/>
    </w:pPr>
    <w:rPr>
      <w:rFonts w:ascii="仿宋_GB2312" w:eastAsia="仿宋_GB2312"/>
      <w:kern w:val="2"/>
      <w:sz w:val="21"/>
      <w:szCs w:val="22"/>
    </w:rPr>
  </w:style>
  <w:style w:type="paragraph" w:customStyle="1" w:styleId="253">
    <w:name w:val="正文_1"/>
    <w:basedOn w:val="1"/>
    <w:qFormat/>
    <w:uiPriority w:val="0"/>
    <w:pPr>
      <w:ind w:firstLine="560"/>
      <w:jc w:val="left"/>
    </w:pPr>
    <w:rPr>
      <w:sz w:val="24"/>
      <w:szCs w:val="24"/>
    </w:rPr>
  </w:style>
  <w:style w:type="paragraph" w:customStyle="1" w:styleId="254">
    <w:name w:val="表格下方正文"/>
    <w:basedOn w:val="1"/>
    <w:qFormat/>
    <w:uiPriority w:val="0"/>
    <w:pPr>
      <w:adjustRightInd w:val="0"/>
      <w:snapToGrid w:val="0"/>
      <w:spacing w:before="260" w:line="460" w:lineRule="exact"/>
      <w:ind w:firstLine="482"/>
    </w:pPr>
    <w:rPr>
      <w:snapToGrid w:val="0"/>
      <w:color w:val="000000"/>
      <w:sz w:val="24"/>
      <w:szCs w:val="24"/>
    </w:rPr>
  </w:style>
  <w:style w:type="paragraph" w:customStyle="1" w:styleId="255">
    <w:name w:val="_Style 0"/>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256">
    <w:name w:val="1正文段落"/>
    <w:basedOn w:val="1"/>
    <w:qFormat/>
    <w:uiPriority w:val="0"/>
    <w:pPr>
      <w:ind w:firstLine="480" w:firstLineChars="200"/>
      <w:jc w:val="left"/>
    </w:pPr>
    <w:rPr>
      <w:szCs w:val="24"/>
    </w:rPr>
  </w:style>
  <w:style w:type="table" w:customStyle="1" w:styleId="257">
    <w:name w:val="网格型 51"/>
    <w:basedOn w:val="36"/>
    <w:unhideWhenUsed/>
    <w:qFormat/>
    <w:uiPriority w:val="99"/>
    <w:pPr>
      <w:widowControl w:val="0"/>
      <w:adjustRightInd w:val="0"/>
      <w:snapToGrid w:val="0"/>
      <w:spacing w:line="360" w:lineRule="auto"/>
      <w:jc w:val="center"/>
    </w:pPr>
    <w:rPr>
      <w:rFonts w:eastAsia="Times New Roman"/>
      <w:sz w:val="24"/>
      <w:szCs w:val="24"/>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vAlign w:val="center"/>
    </w:tcPr>
    <w:tblStylePr w:type="firstRow">
      <w:tcPr>
        <w:tcBorders>
          <w:top w:val="nil"/>
          <w:left w:val="single" w:color="000000" w:sz="12" w:space="0"/>
          <w:bottom w:val="nil"/>
          <w:right w:val="nil"/>
          <w:insideH w:val="nil"/>
          <w:insideV w:val="nil"/>
          <w:tl2br w:val="nil"/>
          <w:tr2bl w:val="nil"/>
        </w:tcBorders>
      </w:tcPr>
    </w:tblStylePr>
    <w:tblStylePr w:type="lastRow">
      <w:rPr>
        <w:rFonts w:hint="default" w:ascii="Times New Roman" w:hAnsi="Times New Roman" w:cs="Times New Roman"/>
        <w:b/>
        <w:bCs/>
      </w:rPr>
      <w:tcPr>
        <w:tcBorders>
          <w:top w:val="nil"/>
          <w:left w:val="nil"/>
          <w:bottom w:val="nil"/>
          <w:right w:val="nil"/>
          <w:insideH w:val="nil"/>
          <w:insideV w:val="nil"/>
          <w:tl2br w:val="nil"/>
          <w:tr2bl w:val="nil"/>
        </w:tcBorders>
      </w:tcPr>
    </w:tblStylePr>
    <w:tblStylePr w:type="lastCol">
      <w:rPr>
        <w:rFonts w:hint="default" w:ascii="Times New Roman" w:hAnsi="Times New Roman" w:cs="Times New Roman"/>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58">
    <w:name w:val="网格型4"/>
    <w:basedOn w:val="3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
    <w:name w:val="网格型2"/>
    <w:basedOn w:val="3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
    <w:name w:val="网格型c12"/>
    <w:basedOn w:val="3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
    <w:name w:val="网格型c4"/>
    <w:basedOn w:val="36"/>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
    <w:name w:val="网格型c2"/>
    <w:basedOn w:val="36"/>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63">
    <w:name w:val="网格型c3"/>
    <w:basedOn w:val="36"/>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
    <w:name w:val="网格型c9"/>
    <w:basedOn w:val="3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
    <w:name w:val="MsoTableGrid"/>
    <w:basedOn w:val="36"/>
    <w:qFormat/>
    <w:uiPriority w:val="0"/>
  </w:style>
  <w:style w:type="table" w:customStyle="1" w:styleId="266">
    <w:name w:val="Table Normal"/>
    <w:basedOn w:val="36"/>
    <w:semiHidden/>
    <w:qFormat/>
    <w:uiPriority w:val="0"/>
    <w:pPr>
      <w:widowControl w:val="0"/>
      <w:autoSpaceDE w:val="0"/>
      <w:autoSpaceDN w:val="0"/>
    </w:pPr>
    <w:rPr>
      <w:rFonts w:cs="Calibri"/>
      <w:kern w:val="2"/>
      <w:sz w:val="22"/>
      <w:szCs w:val="22"/>
      <w:lang w:eastAsia="en-US"/>
    </w:rPr>
    <w:tblPr>
      <w:tblCellMar>
        <w:left w:w="0" w:type="dxa"/>
        <w:right w:w="0" w:type="dxa"/>
      </w:tblCellMar>
    </w:tblPr>
  </w:style>
  <w:style w:type="table" w:customStyle="1" w:styleId="267">
    <w:name w:val="网格型3"/>
    <w:basedOn w:val="36"/>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
    <w:name w:val="网格型c1"/>
    <w:basedOn w:val="36"/>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69">
    <w:name w:val="网格型c6"/>
    <w:basedOn w:val="3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
    <w:name w:val="网格型5"/>
    <w:basedOn w:val="3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
    <w:name w:val="网格型1"/>
    <w:basedOn w:val="3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72">
    <w:name w:val="默认段落字体 Para Char Char Char Char"/>
    <w:basedOn w:val="1"/>
    <w:qFormat/>
    <w:uiPriority w:val="0"/>
    <w:rPr>
      <w:kern w:val="2"/>
      <w:sz w:val="24"/>
      <w:szCs w:val="24"/>
    </w:rPr>
  </w:style>
  <w:style w:type="paragraph" w:customStyle="1" w:styleId="273">
    <w:name w:val="Char Char Char Char Char Char Char Char Char Char Char Char1 Char Char Char Char Char Char Char Char Char Char Char Char Char Char Char Char Char Char Char"/>
    <w:basedOn w:val="1"/>
    <w:qFormat/>
    <w:uiPriority w:val="0"/>
    <w:pPr>
      <w:spacing w:line="360" w:lineRule="auto"/>
      <w:ind w:firstLine="200" w:firstLineChars="200"/>
    </w:pPr>
    <w:rPr>
      <w:rFonts w:ascii="宋体" w:hAnsi="宋体" w:cs="宋体"/>
      <w:kern w:val="2"/>
      <w:sz w:val="24"/>
      <w:szCs w:val="24"/>
    </w:rPr>
  </w:style>
  <w:style w:type="paragraph" w:customStyle="1" w:styleId="274">
    <w:name w:val="正文首行缩进2个字 Char"/>
    <w:basedOn w:val="1"/>
    <w:qFormat/>
    <w:uiPriority w:val="0"/>
    <w:pPr>
      <w:ind w:firstLine="480" w:firstLineChars="200"/>
    </w:pPr>
    <w:rPr>
      <w:rFonts w:ascii="Calibri" w:hAnsi="Calibri" w:eastAsia="楷体"/>
      <w:sz w:val="24"/>
      <w:szCs w:val="24"/>
    </w:rPr>
  </w:style>
  <w:style w:type="paragraph" w:customStyle="1" w:styleId="275">
    <w:name w:val="表内文字"/>
    <w:basedOn w:val="276"/>
    <w:qFormat/>
    <w:uiPriority w:val="0"/>
    <w:pPr>
      <w:tabs>
        <w:tab w:val="center" w:pos="4153"/>
        <w:tab w:val="right" w:pos="8306"/>
      </w:tabs>
      <w:spacing w:line="312" w:lineRule="auto"/>
    </w:pPr>
    <w:rPr>
      <w:rFonts w:ascii="Times New Roman" w:hAnsi="Times New Roman" w:cs="Times New Roman"/>
      <w:b w:val="0"/>
      <w:bCs w:val="0"/>
    </w:rPr>
  </w:style>
  <w:style w:type="paragraph" w:customStyle="1" w:styleId="276">
    <w:name w:val="表头"/>
    <w:basedOn w:val="26"/>
    <w:qFormat/>
    <w:uiPriority w:val="0"/>
    <w:pPr>
      <w:widowControl/>
      <w:adjustRightInd w:val="0"/>
      <w:spacing w:after="200"/>
      <w:jc w:val="center"/>
    </w:pPr>
    <w:rPr>
      <w:rFonts w:ascii="宋体" w:hAnsi="宋体" w:eastAsia="微软雅黑" w:cs="宋体"/>
      <w:b/>
      <w:bCs/>
      <w:sz w:val="21"/>
    </w:rPr>
  </w:style>
  <w:style w:type="paragraph" w:customStyle="1" w:styleId="277">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278">
    <w:name w:val="常用表格样式"/>
    <w:basedOn w:val="1"/>
    <w:next w:val="1"/>
    <w:link w:val="279"/>
    <w:qFormat/>
    <w:uiPriority w:val="0"/>
    <w:pPr>
      <w:jc w:val="center"/>
    </w:pPr>
    <w:rPr>
      <w:rFonts w:eastAsia="仿宋"/>
      <w:sz w:val="24"/>
      <w:szCs w:val="21"/>
    </w:rPr>
  </w:style>
  <w:style w:type="character" w:customStyle="1" w:styleId="279">
    <w:name w:val="常用表格样式 Char1"/>
    <w:link w:val="278"/>
    <w:qFormat/>
    <w:uiPriority w:val="0"/>
    <w:rPr>
      <w:rFonts w:eastAsia="仿宋"/>
      <w:sz w:val="24"/>
      <w:szCs w:val="21"/>
    </w:rPr>
  </w:style>
  <w:style w:type="table" w:customStyle="1" w:styleId="280">
    <w:name w:val="常用表格框样式"/>
    <w:basedOn w:val="38"/>
    <w:qFormat/>
    <w:uiPriority w:val="99"/>
    <w:pPr>
      <w:jc w:val="center"/>
      <w:textAlignment w:val="center"/>
    </w:pPr>
    <w:rPr>
      <w:rFonts w:eastAsia="仿宋"/>
      <w:sz w:val="21"/>
    </w:rPr>
    <w:tblPr>
      <w:jc w:val="center"/>
      <w:tblCellMar>
        <w:left w:w="0" w:type="dxa"/>
        <w:right w:w="0" w:type="dxa"/>
      </w:tblCellMar>
    </w:tblPr>
    <w:trPr>
      <w:jc w:val="center"/>
    </w:trPr>
    <w:tcPr>
      <w:shd w:val="clear" w:color="auto" w:fill="auto"/>
      <w:vAlign w:val="center"/>
    </w:tcPr>
    <w:tblStylePr w:type="firstRow">
      <w:pPr>
        <w:jc w:val="center"/>
      </w:pPr>
      <w:rPr>
        <w:b/>
        <w:sz w:val="21"/>
      </w:rPr>
      <w:tcPr>
        <w:tcBorders>
          <w:top w:val="nil"/>
          <w:left w:val="nil"/>
          <w:bottom w:val="single" w:color="000000" w:sz="12" w:space="0"/>
          <w:right w:val="nil"/>
          <w:insideH w:val="nil"/>
          <w:insideV w:val="nil"/>
          <w:tl2br w:val="nil"/>
          <w:tr2bl w:val="nil"/>
        </w:tcBorders>
        <w:shd w:val="clear" w:color="auto" w:fill="F2F2F2"/>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character" w:customStyle="1" w:styleId="281">
    <w:name w:val="NormalCharacter"/>
    <w:qFormat/>
    <w:uiPriority w:val="0"/>
  </w:style>
  <w:style w:type="character" w:customStyle="1" w:styleId="282">
    <w:name w:val="ui-icon32"/>
    <w:qFormat/>
    <w:uiPriority w:val="0"/>
  </w:style>
  <w:style w:type="character" w:customStyle="1" w:styleId="283">
    <w:name w:val="ui-icon29"/>
    <w:qFormat/>
    <w:uiPriority w:val="0"/>
  </w:style>
  <w:style w:type="character" w:customStyle="1" w:styleId="284">
    <w:name w:val="ui-icon1"/>
    <w:qFormat/>
    <w:uiPriority w:val="0"/>
  </w:style>
  <w:style w:type="character" w:customStyle="1" w:styleId="285">
    <w:name w:val="ui-icon30"/>
    <w:qFormat/>
    <w:uiPriority w:val="0"/>
  </w:style>
  <w:style w:type="character" w:customStyle="1" w:styleId="286">
    <w:name w:val="ui-icon37"/>
    <w:qFormat/>
    <w:uiPriority w:val="0"/>
  </w:style>
  <w:style w:type="character" w:customStyle="1" w:styleId="287">
    <w:name w:val="ui-icon35"/>
    <w:qFormat/>
    <w:uiPriority w:val="0"/>
  </w:style>
  <w:style w:type="character" w:customStyle="1" w:styleId="288">
    <w:name w:val="hover3"/>
    <w:qFormat/>
    <w:uiPriority w:val="0"/>
    <w:rPr>
      <w:shd w:val="clear" w:color="auto" w:fill="EAE9E9"/>
    </w:rPr>
  </w:style>
  <w:style w:type="character" w:customStyle="1" w:styleId="289">
    <w:name w:val="ui-icon36"/>
    <w:qFormat/>
    <w:uiPriority w:val="0"/>
  </w:style>
  <w:style w:type="character" w:customStyle="1" w:styleId="290">
    <w:name w:val="ui-icon"/>
    <w:qFormat/>
    <w:uiPriority w:val="0"/>
  </w:style>
  <w:style w:type="paragraph" w:customStyle="1" w:styleId="291">
    <w:name w:val="标题 11"/>
    <w:basedOn w:val="1"/>
    <w:next w:val="1"/>
    <w:qFormat/>
    <w:uiPriority w:val="0"/>
    <w:pPr>
      <w:keepNext/>
      <w:adjustRightInd w:val="0"/>
      <w:snapToGrid w:val="0"/>
      <w:spacing w:line="360" w:lineRule="auto"/>
      <w:textAlignment w:val="baseline"/>
      <w:outlineLvl w:val="0"/>
    </w:pPr>
    <w:rPr>
      <w:sz w:val="28"/>
    </w:rPr>
  </w:style>
  <w:style w:type="paragraph" w:styleId="292">
    <w:name w:val="List Paragraph"/>
    <w:basedOn w:val="1"/>
    <w:qFormat/>
    <w:uiPriority w:val="0"/>
    <w:pPr>
      <w:ind w:firstLine="420" w:firstLineChars="200"/>
    </w:pPr>
  </w:style>
  <w:style w:type="character" w:customStyle="1" w:styleId="293">
    <w:name w:val="正文文本首行缩进 2 字符"/>
    <w:basedOn w:val="63"/>
    <w:link w:val="35"/>
    <w:qFormat/>
    <w:uiPriority w:val="99"/>
    <w:rPr>
      <w:b/>
      <w:bCs/>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6" Type="http://schemas.openxmlformats.org/officeDocument/2006/relationships/fontTable" Target="fontTable.xml"/><Relationship Id="rId45" Type="http://schemas.openxmlformats.org/officeDocument/2006/relationships/customXml" Target="../customXml/item2.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29.jpeg"/><Relationship Id="rId41" Type="http://schemas.openxmlformats.org/officeDocument/2006/relationships/image" Target="media/image28.jpeg"/><Relationship Id="rId40" Type="http://schemas.openxmlformats.org/officeDocument/2006/relationships/image" Target="media/image27.jpeg"/><Relationship Id="rId4" Type="http://schemas.openxmlformats.org/officeDocument/2006/relationships/header" Target="header2.xml"/><Relationship Id="rId39" Type="http://schemas.openxmlformats.org/officeDocument/2006/relationships/image" Target="media/image26.jpeg"/><Relationship Id="rId38" Type="http://schemas.openxmlformats.org/officeDocument/2006/relationships/image" Target="media/image25.jpeg"/><Relationship Id="rId37" Type="http://schemas.openxmlformats.org/officeDocument/2006/relationships/image" Target="media/image24.jpeg"/><Relationship Id="rId36" Type="http://schemas.openxmlformats.org/officeDocument/2006/relationships/image" Target="media/image23.jpeg"/><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image" Target="media/image19.pn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header" Target="header1.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png"/><Relationship Id="rId25" Type="http://schemas.openxmlformats.org/officeDocument/2006/relationships/oleObject" Target="embeddings/oleObject2.bin"/><Relationship Id="rId24" Type="http://schemas.openxmlformats.org/officeDocument/2006/relationships/image" Target="media/image12.png"/><Relationship Id="rId23" Type="http://schemas.openxmlformats.org/officeDocument/2006/relationships/image" Target="media/image11.jpe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png"/><Relationship Id="rId15" Type="http://schemas.openxmlformats.org/officeDocument/2006/relationships/oleObject" Target="embeddings/oleObject1.bin"/><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374"/>
    <customShpInfo spid="_x0000_s138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685FC56-F610-40C4-B180-FDD11434927C}">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51</Pages>
  <Words>18150</Words>
  <Characters>26322</Characters>
  <Lines>230</Lines>
  <Paragraphs>64</Paragraphs>
  <TotalTime>73</TotalTime>
  <ScaleCrop>false</ScaleCrop>
  <LinksUpToDate>false</LinksUpToDate>
  <CharactersWithSpaces>26944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2023-11-07T07:51:00Z</dcterms:created>
  <dc:creator>叶骥</dc:creator>
  <cp:lastModifiedBy>你岸</cp:lastModifiedBy>
  <cp:lastPrinted>2023-11-07T08:42:00Z</cp:lastPrinted>
  <dcterms:modified xsi:type="dcterms:W3CDTF">2023-11-10T05:18:27Z</dcterms:modified>
  <dc:title>_x0001_</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34D3A24DA3FF498885B57CF75B5A9F01</vt:lpwstr>
  </property>
</Properties>
</file>