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23380">
      <w:pPr>
        <w:rPr>
          <w:rFonts w:hint="eastAsia"/>
        </w:rPr>
      </w:pPr>
      <w:bookmarkStart w:id="0" w:name="_Toc500512658"/>
      <w:bookmarkStart w:id="1" w:name="_Toc492916753"/>
      <w:bookmarkStart w:id="2" w:name="_Toc500947625"/>
      <w:bookmarkStart w:id="3" w:name="_Toc493854585"/>
      <w:bookmarkStart w:id="4" w:name="_Toc493510989"/>
      <w:bookmarkStart w:id="5" w:name="_Toc501806123"/>
      <w:bookmarkStart w:id="6" w:name="_Toc507426026"/>
      <w:bookmarkStart w:id="7" w:name="_Toc491307945"/>
      <w:bookmarkStart w:id="8" w:name="_Toc491696274"/>
      <w:bookmarkStart w:id="9" w:name="_Toc507426245"/>
      <w:bookmarkStart w:id="10" w:name="_Toc492125111"/>
      <w:bookmarkStart w:id="11" w:name="_Toc492130739"/>
      <w:r>
        <w:drawing>
          <wp:anchor distT="0" distB="0" distL="114300" distR="114300" simplePos="0" relativeHeight="251660288" behindDoc="0" locked="0" layoutInCell="1" allowOverlap="1">
            <wp:simplePos x="0" y="0"/>
            <wp:positionH relativeFrom="column">
              <wp:posOffset>-101600</wp:posOffset>
            </wp:positionH>
            <wp:positionV relativeFrom="paragraph">
              <wp:posOffset>-20955</wp:posOffset>
            </wp:positionV>
            <wp:extent cx="1252855" cy="1098550"/>
            <wp:effectExtent l="0" t="0" r="4445" b="6350"/>
            <wp:wrapNone/>
            <wp:docPr id="2"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943"/>
                    <pic:cNvPicPr>
                      <a:picLocks noChangeAspect="1"/>
                    </pic:cNvPicPr>
                  </pic:nvPicPr>
                  <pic:blipFill>
                    <a:blip r:embed="rId16"/>
                    <a:stretch>
                      <a:fillRect/>
                    </a:stretch>
                  </pic:blipFill>
                  <pic:spPr>
                    <a:xfrm>
                      <a:off x="0" y="0"/>
                      <a:ext cx="1252855" cy="1098550"/>
                    </a:xfrm>
                    <a:prstGeom prst="rect">
                      <a:avLst/>
                    </a:prstGeom>
                    <a:noFill/>
                    <a:ln>
                      <a:noFill/>
                    </a:ln>
                  </pic:spPr>
                </pic:pic>
              </a:graphicData>
            </a:graphic>
          </wp:anchor>
        </w:drawing>
      </w:r>
    </w:p>
    <w:p w14:paraId="02D80803">
      <w:pPr>
        <w:tabs>
          <w:tab w:val="left" w:pos="4624"/>
        </w:tabs>
        <w:adjustRightInd w:val="0"/>
        <w:snapToGrid w:val="0"/>
        <w:spacing w:line="440" w:lineRule="exact"/>
        <w:ind w:firstLine="883"/>
        <w:jc w:val="center"/>
        <w:rPr>
          <w:rFonts w:cs="Arial"/>
          <w:b/>
          <w:sz w:val="44"/>
        </w:rPr>
      </w:pPr>
    </w:p>
    <w:p w14:paraId="17AC2D9A">
      <w:pPr>
        <w:tabs>
          <w:tab w:val="left" w:pos="4624"/>
        </w:tabs>
        <w:adjustRightInd w:val="0"/>
        <w:snapToGrid w:val="0"/>
        <w:spacing w:line="440" w:lineRule="exact"/>
        <w:ind w:firstLine="883"/>
        <w:jc w:val="center"/>
        <w:rPr>
          <w:rFonts w:cs="Arial"/>
          <w:b/>
          <w:color w:val="000000"/>
          <w:sz w:val="44"/>
        </w:rPr>
      </w:pPr>
    </w:p>
    <w:p w14:paraId="71023AFC">
      <w:pPr>
        <w:spacing w:line="440" w:lineRule="exact"/>
        <w:ind w:firstLine="480"/>
        <w:jc w:val="center"/>
        <w:rPr>
          <w:rFonts w:cs="Arial"/>
          <w:color w:val="000000"/>
        </w:rPr>
      </w:pPr>
    </w:p>
    <w:p w14:paraId="3B4113CE">
      <w:pPr>
        <w:spacing w:line="440" w:lineRule="exact"/>
        <w:ind w:firstLine="480"/>
        <w:jc w:val="center"/>
        <w:rPr>
          <w:rFonts w:cs="Arial"/>
          <w:color w:val="000000"/>
        </w:rPr>
      </w:pPr>
    </w:p>
    <w:p w14:paraId="4ECAA575">
      <w:pPr>
        <w:spacing w:line="440" w:lineRule="exact"/>
        <w:ind w:firstLine="480"/>
        <w:jc w:val="center"/>
        <w:rPr>
          <w:rFonts w:cs="Arial"/>
          <w:color w:val="000000"/>
        </w:rPr>
      </w:pPr>
    </w:p>
    <w:p w14:paraId="04096974">
      <w:pPr>
        <w:ind w:firstLine="480"/>
        <w:jc w:val="center"/>
        <w:rPr>
          <w:rFonts w:cs="Arial"/>
          <w:color w:val="000000"/>
        </w:rPr>
      </w:pPr>
    </w:p>
    <w:p w14:paraId="19D61263">
      <w:pPr>
        <w:widowControl/>
        <w:adjustRightInd w:val="0"/>
        <w:snapToGrid w:val="0"/>
        <w:spacing w:line="360" w:lineRule="auto"/>
        <w:jc w:val="center"/>
        <w:rPr>
          <w:rFonts w:cs="Arial"/>
          <w:b/>
          <w:bCs/>
          <w:color w:val="000000"/>
          <w:sz w:val="72"/>
          <w:szCs w:val="72"/>
        </w:rPr>
      </w:pPr>
      <w:r>
        <w:rPr>
          <w:rFonts w:hint="eastAsia" w:cs="Arial"/>
          <w:b/>
          <w:bCs/>
          <w:color w:val="000000"/>
          <w:sz w:val="72"/>
          <w:szCs w:val="72"/>
        </w:rPr>
        <w:t>兰溪市工业污水处理厂工程</w:t>
      </w:r>
    </w:p>
    <w:p w14:paraId="68BE9108">
      <w:pPr>
        <w:widowControl/>
        <w:adjustRightInd w:val="0"/>
        <w:snapToGrid w:val="0"/>
        <w:spacing w:line="360" w:lineRule="auto"/>
        <w:jc w:val="center"/>
        <w:rPr>
          <w:rFonts w:hint="eastAsia" w:cs="Arial"/>
          <w:b/>
          <w:bCs/>
          <w:color w:val="000000"/>
          <w:sz w:val="72"/>
          <w:szCs w:val="72"/>
        </w:rPr>
      </w:pPr>
      <w:r>
        <w:rPr>
          <w:rFonts w:cs="Arial"/>
          <w:b/>
          <w:bCs/>
          <w:color w:val="000000"/>
          <w:sz w:val="72"/>
          <w:szCs w:val="72"/>
        </w:rPr>
        <w:t>环境影响报告书</w:t>
      </w:r>
    </w:p>
    <w:p w14:paraId="737E9C14">
      <w:pPr>
        <w:widowControl/>
        <w:jc w:val="center"/>
        <w:rPr>
          <w:rFonts w:hint="eastAsia" w:cs="Arial"/>
          <w:b/>
          <w:bCs/>
          <w:color w:val="000000"/>
          <w:sz w:val="36"/>
          <w:szCs w:val="36"/>
        </w:rPr>
      </w:pPr>
      <w:r>
        <w:rPr>
          <w:rFonts w:cs="Arial"/>
          <w:b/>
          <w:color w:val="000000"/>
          <w:sz w:val="36"/>
          <w:szCs w:val="36"/>
        </w:rPr>
        <w:t>（</w:t>
      </w:r>
      <w:r>
        <w:rPr>
          <w:rFonts w:hint="eastAsia" w:cs="Arial"/>
          <w:b/>
          <w:color w:val="000000"/>
          <w:sz w:val="36"/>
          <w:szCs w:val="36"/>
          <w:lang w:val="en-US" w:eastAsia="zh-CN"/>
        </w:rPr>
        <w:t>报批</w:t>
      </w:r>
      <w:r>
        <w:rPr>
          <w:rFonts w:cs="Arial"/>
          <w:b/>
          <w:color w:val="000000"/>
          <w:sz w:val="36"/>
          <w:szCs w:val="36"/>
        </w:rPr>
        <w:t>稿）</w:t>
      </w:r>
    </w:p>
    <w:p w14:paraId="190344CB">
      <w:pPr>
        <w:ind w:firstLine="480"/>
        <w:jc w:val="center"/>
        <w:rPr>
          <w:rFonts w:cs="Arial"/>
          <w:color w:val="000000"/>
        </w:rPr>
      </w:pPr>
    </w:p>
    <w:p w14:paraId="6F63EB54">
      <w:pPr>
        <w:ind w:firstLine="480"/>
        <w:jc w:val="center"/>
        <w:rPr>
          <w:rFonts w:cs="Arial"/>
          <w:color w:val="000000"/>
        </w:rPr>
      </w:pPr>
    </w:p>
    <w:p w14:paraId="19B8D02F">
      <w:pPr>
        <w:tabs>
          <w:tab w:val="left" w:pos="2970"/>
        </w:tabs>
        <w:ind w:firstLine="480"/>
        <w:jc w:val="center"/>
        <w:rPr>
          <w:rFonts w:cs="Arial"/>
          <w:color w:val="000000"/>
        </w:rPr>
      </w:pPr>
    </w:p>
    <w:p w14:paraId="289A52F7">
      <w:pPr>
        <w:ind w:firstLine="480"/>
        <w:jc w:val="center"/>
        <w:rPr>
          <w:rFonts w:cs="Arial"/>
          <w:color w:val="000000"/>
        </w:rPr>
      </w:pPr>
    </w:p>
    <w:p w14:paraId="17DA4131">
      <w:pPr>
        <w:ind w:firstLine="480"/>
        <w:jc w:val="center"/>
        <w:rPr>
          <w:rFonts w:cs="Arial"/>
          <w:color w:val="000000"/>
        </w:rPr>
      </w:pPr>
    </w:p>
    <w:p w14:paraId="135F6F8F">
      <w:pPr>
        <w:adjustRightInd w:val="0"/>
        <w:snapToGrid w:val="0"/>
        <w:ind w:firstLine="720"/>
        <w:jc w:val="center"/>
        <w:rPr>
          <w:rFonts w:cs="Arial"/>
          <w:bCs/>
          <w:color w:val="000000"/>
          <w:sz w:val="36"/>
          <w:szCs w:val="36"/>
        </w:rPr>
      </w:pPr>
    </w:p>
    <w:p w14:paraId="1DCA8A6C">
      <w:pPr>
        <w:adjustRightInd w:val="0"/>
        <w:snapToGrid w:val="0"/>
        <w:ind w:firstLine="720"/>
        <w:jc w:val="center"/>
        <w:rPr>
          <w:rFonts w:cs="Arial"/>
          <w:bCs/>
          <w:color w:val="000000"/>
          <w:sz w:val="36"/>
          <w:szCs w:val="36"/>
        </w:rPr>
      </w:pPr>
    </w:p>
    <w:p w14:paraId="59511E0B">
      <w:pPr>
        <w:adjustRightInd w:val="0"/>
        <w:snapToGrid w:val="0"/>
        <w:ind w:firstLine="720"/>
        <w:jc w:val="center"/>
        <w:rPr>
          <w:rFonts w:cs="Arial"/>
          <w:bCs/>
          <w:color w:val="000000"/>
          <w:sz w:val="36"/>
          <w:szCs w:val="36"/>
        </w:rPr>
      </w:pPr>
    </w:p>
    <w:p w14:paraId="5726DE99">
      <w:pPr>
        <w:adjustRightInd w:val="0"/>
        <w:snapToGrid w:val="0"/>
        <w:ind w:firstLine="720"/>
        <w:jc w:val="center"/>
        <w:rPr>
          <w:rFonts w:cs="Arial"/>
          <w:bCs/>
          <w:color w:val="000000"/>
          <w:sz w:val="36"/>
          <w:szCs w:val="36"/>
        </w:rPr>
      </w:pPr>
    </w:p>
    <w:p w14:paraId="6B81B881">
      <w:pPr>
        <w:adjustRightInd w:val="0"/>
        <w:snapToGrid w:val="0"/>
        <w:ind w:firstLine="720"/>
        <w:jc w:val="center"/>
        <w:rPr>
          <w:rFonts w:cs="Arial"/>
          <w:bCs/>
          <w:color w:val="000000"/>
          <w:sz w:val="36"/>
          <w:szCs w:val="36"/>
        </w:rPr>
      </w:pPr>
    </w:p>
    <w:p w14:paraId="71D3FCDB">
      <w:pPr>
        <w:adjustRightInd w:val="0"/>
        <w:snapToGrid w:val="0"/>
        <w:ind w:firstLine="720"/>
        <w:jc w:val="center"/>
        <w:rPr>
          <w:rFonts w:cs="Arial"/>
          <w:bCs/>
          <w:color w:val="000000"/>
          <w:sz w:val="36"/>
          <w:szCs w:val="36"/>
        </w:rPr>
      </w:pPr>
    </w:p>
    <w:p w14:paraId="6E14CAC7">
      <w:pPr>
        <w:adjustRightInd w:val="0"/>
        <w:snapToGrid w:val="0"/>
        <w:ind w:firstLine="720"/>
        <w:jc w:val="center"/>
        <w:rPr>
          <w:rFonts w:cs="Arial"/>
          <w:bCs/>
          <w:color w:val="000000"/>
          <w:sz w:val="36"/>
          <w:szCs w:val="36"/>
        </w:rPr>
      </w:pPr>
    </w:p>
    <w:p w14:paraId="77BB7A12">
      <w:pPr>
        <w:adjustRightInd w:val="0"/>
        <w:snapToGrid w:val="0"/>
        <w:ind w:firstLine="720"/>
        <w:jc w:val="center"/>
        <w:rPr>
          <w:rFonts w:cs="Arial"/>
          <w:bCs/>
          <w:color w:val="000000"/>
          <w:sz w:val="36"/>
          <w:szCs w:val="36"/>
        </w:rPr>
      </w:pPr>
    </w:p>
    <w:p w14:paraId="4B39A770">
      <w:pPr>
        <w:adjustRightInd w:val="0"/>
        <w:snapToGrid w:val="0"/>
        <w:ind w:firstLine="720"/>
        <w:jc w:val="center"/>
        <w:rPr>
          <w:rFonts w:cs="Arial"/>
          <w:bCs/>
          <w:color w:val="000000"/>
          <w:sz w:val="36"/>
          <w:szCs w:val="36"/>
        </w:rPr>
      </w:pPr>
    </w:p>
    <w:p w14:paraId="11A2B95E">
      <w:pPr>
        <w:adjustRightInd w:val="0"/>
        <w:snapToGrid w:val="0"/>
        <w:ind w:firstLine="720"/>
        <w:jc w:val="center"/>
        <w:rPr>
          <w:rFonts w:cs="Arial"/>
          <w:bCs/>
          <w:color w:val="000000"/>
          <w:sz w:val="36"/>
          <w:szCs w:val="36"/>
        </w:rPr>
      </w:pPr>
    </w:p>
    <w:p w14:paraId="53DD7795">
      <w:pPr>
        <w:adjustRightInd w:val="0"/>
        <w:snapToGrid w:val="0"/>
        <w:ind w:firstLine="720"/>
        <w:jc w:val="center"/>
        <w:rPr>
          <w:rFonts w:hint="eastAsia" w:cs="Arial"/>
          <w:bCs/>
          <w:color w:val="000000"/>
          <w:sz w:val="36"/>
          <w:szCs w:val="36"/>
        </w:rPr>
      </w:pPr>
    </w:p>
    <w:p w14:paraId="3D4751CB">
      <w:pPr>
        <w:adjustRightInd w:val="0"/>
        <w:snapToGrid w:val="0"/>
        <w:ind w:firstLine="480"/>
        <w:jc w:val="center"/>
        <w:rPr>
          <w:rFonts w:cs="Arial"/>
          <w:color w:val="000000"/>
          <w:szCs w:val="21"/>
        </w:rPr>
      </w:pPr>
    </w:p>
    <w:p w14:paraId="543190A5">
      <w:pPr>
        <w:adjustRightInd w:val="0"/>
        <w:snapToGrid w:val="0"/>
        <w:spacing w:line="360" w:lineRule="auto"/>
        <w:jc w:val="center"/>
        <w:rPr>
          <w:rFonts w:cs="Arial"/>
          <w:b/>
          <w:bCs/>
          <w:color w:val="000000"/>
          <w:sz w:val="32"/>
          <w:szCs w:val="32"/>
        </w:rPr>
      </w:pPr>
      <w:r>
        <w:rPr>
          <w:rFonts w:cs="Arial"/>
          <w:b/>
          <w:bCs/>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133350</wp:posOffset>
                </wp:positionH>
                <wp:positionV relativeFrom="paragraph">
                  <wp:posOffset>326390</wp:posOffset>
                </wp:positionV>
                <wp:extent cx="5259705" cy="0"/>
                <wp:effectExtent l="0" t="28575" r="17145" b="28575"/>
                <wp:wrapNone/>
                <wp:docPr id="3" name="直接连接符 3"/>
                <wp:cNvGraphicFramePr/>
                <a:graphic xmlns:a="http://schemas.openxmlformats.org/drawingml/2006/main">
                  <a:graphicData uri="http://schemas.microsoft.com/office/word/2010/wordprocessingShape">
                    <wps:wsp>
                      <wps:cNvSpPr/>
                      <wps:spPr>
                        <a:xfrm>
                          <a:off x="0" y="0"/>
                          <a:ext cx="5259705" cy="0"/>
                        </a:xfrm>
                        <a:prstGeom prst="line">
                          <a:avLst/>
                        </a:prstGeom>
                        <a:ln w="57150" cap="flat" cmpd="thinThick">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5pt;margin-top:25.7pt;height:0pt;width:414.15pt;z-index:251661312;mso-width-relative:page;mso-height-relative:page;" filled="f" stroked="t" coordsize="21600,21600" o:gfxdata="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aOxhtkAAAAIAQAADwAAAAAAAAABACAAAAAiAAAAZHJzL2Rvd25yZXYu&#10;eG1sUEsBAhQAFAAAAAgAh07iQMXE5aP6AQAA6wMAAA4AAAAAAAAAAQAgAAAAKAEAAGRycy9lMm9E&#10;b2MueG1sUEsFBgAAAAAGAAYAWQEAAJQFAAAAAA==&#10;">
                <v:path arrowok="t"/>
                <v:fill on="f" focussize="0,0"/>
                <v:stroke weight="4.5pt" linestyle="thinThick"/>
                <v:imagedata o:title=""/>
                <o:lock v:ext="edit" grouping="f" rotation="f" text="f" aspectratio="f"/>
              </v:line>
            </w:pict>
          </mc:Fallback>
        </mc:AlternateContent>
      </w:r>
      <w:r>
        <w:rPr>
          <w:rFonts w:cs="Arial"/>
          <w:b/>
          <w:bCs/>
          <w:color w:val="000000"/>
          <w:sz w:val="32"/>
          <w:szCs w:val="32"/>
        </w:rPr>
        <w:t>浙江环耀环境建设有限公司</w:t>
      </w:r>
    </w:p>
    <w:p w14:paraId="374290C1">
      <w:pPr>
        <w:adjustRightInd w:val="0"/>
        <w:snapToGrid w:val="0"/>
        <w:spacing w:line="360" w:lineRule="auto"/>
        <w:jc w:val="center"/>
        <w:rPr>
          <w:rFonts w:cs="Arial"/>
          <w:b/>
          <w:bCs/>
          <w:color w:val="000000"/>
        </w:rPr>
      </w:pPr>
      <w:r>
        <w:rPr>
          <w:rFonts w:cs="Arial"/>
          <w:b/>
          <w:bCs/>
          <w:color w:val="000000"/>
        </w:rPr>
        <w:t>ZHEJIANG HUANYAO ENVIRONMENTAL CONSTRUCTION CO.,LTD</w:t>
      </w:r>
    </w:p>
    <w:p w14:paraId="17726CF8">
      <w:pPr>
        <w:jc w:val="center"/>
        <w:rPr>
          <w:rFonts w:cs="Arial"/>
          <w:b/>
          <w:color w:val="000000"/>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588" w:header="992" w:footer="992" w:gutter="0"/>
          <w:pgNumType w:start="1"/>
          <w:cols w:space="720" w:num="1"/>
          <w:titlePg/>
          <w:docGrid w:linePitch="442" w:charSpace="2933"/>
        </w:sectPr>
      </w:pPr>
      <w:r>
        <w:rPr>
          <w:rFonts w:cs="Arial"/>
          <w:b/>
          <w:color w:val="000000"/>
          <w:sz w:val="28"/>
          <w:szCs w:val="28"/>
        </w:rPr>
        <w:t>二〇二</w:t>
      </w:r>
      <w:r>
        <w:rPr>
          <w:rFonts w:hint="eastAsia" w:cs="Arial"/>
          <w:b/>
          <w:color w:val="000000"/>
          <w:sz w:val="28"/>
          <w:szCs w:val="28"/>
        </w:rPr>
        <w:t>四</w:t>
      </w:r>
      <w:r>
        <w:rPr>
          <w:rFonts w:cs="Arial"/>
          <w:b/>
          <w:color w:val="000000"/>
          <w:sz w:val="28"/>
          <w:szCs w:val="28"/>
        </w:rPr>
        <w:t>年</w:t>
      </w:r>
      <w:r>
        <w:rPr>
          <w:rFonts w:hint="eastAsia" w:cs="Arial"/>
          <w:b/>
          <w:color w:val="000000"/>
          <w:sz w:val="28"/>
          <w:szCs w:val="28"/>
        </w:rPr>
        <w:t>十</w:t>
      </w:r>
      <w:r>
        <w:rPr>
          <w:rFonts w:hint="eastAsia" w:cs="Arial"/>
          <w:b/>
          <w:color w:val="000000"/>
          <w:sz w:val="28"/>
          <w:szCs w:val="28"/>
          <w:lang w:val="en-US" w:eastAsia="zh-CN"/>
        </w:rPr>
        <w:t>一</w:t>
      </w:r>
      <w:r>
        <w:rPr>
          <w:rFonts w:cs="Arial"/>
          <w:b/>
          <w:color w:val="000000"/>
          <w:sz w:val="28"/>
          <w:szCs w:val="28"/>
        </w:rPr>
        <w:t>月</w:t>
      </w:r>
    </w:p>
    <w:p w14:paraId="4EC7E1FB">
      <w:pPr>
        <w:jc w:val="center"/>
        <w:rPr>
          <w:rFonts w:ascii="华文楷体" w:hAnsi="华文楷体" w:eastAsia="华文楷体"/>
          <w:b/>
          <w:color w:val="000000"/>
          <w:spacing w:val="20"/>
          <w:sz w:val="30"/>
          <w:szCs w:val="30"/>
        </w:rPr>
        <w:sectPr>
          <w:headerReference r:id="rId10" w:type="first"/>
          <w:footerReference r:id="rId12" w:type="first"/>
          <w:headerReference r:id="rId9" w:type="default"/>
          <w:footerReference r:id="rId11" w:type="default"/>
          <w:pgSz w:w="11907" w:h="16840"/>
          <w:pgMar w:top="1418" w:right="1701" w:bottom="1418" w:left="1701" w:header="1134" w:footer="1134" w:gutter="0"/>
          <w:pgNumType w:start="1"/>
          <w:cols w:space="720" w:num="1"/>
          <w:titlePg/>
          <w:docGrid w:linePitch="312" w:charSpace="0"/>
        </w:sectPr>
      </w:pPr>
      <w:r>
        <w:drawing>
          <wp:inline distT="0" distB="0" distL="114300" distR="114300">
            <wp:extent cx="5399405" cy="7143750"/>
            <wp:effectExtent l="0" t="0" r="1079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7"/>
                    <a:stretch>
                      <a:fillRect/>
                    </a:stretch>
                  </pic:blipFill>
                  <pic:spPr>
                    <a:xfrm>
                      <a:off x="0" y="0"/>
                      <a:ext cx="5399405" cy="7143750"/>
                    </a:xfrm>
                    <a:prstGeom prst="rect">
                      <a:avLst/>
                    </a:prstGeom>
                    <a:noFill/>
                    <a:ln>
                      <a:noFill/>
                    </a:ln>
                  </pic:spPr>
                </pic:pic>
              </a:graphicData>
            </a:graphic>
          </wp:inline>
        </w:drawing>
      </w:r>
    </w:p>
    <w:bookmarkEnd w:id="0"/>
    <w:bookmarkEnd w:id="1"/>
    <w:bookmarkEnd w:id="2"/>
    <w:bookmarkEnd w:id="3"/>
    <w:bookmarkEnd w:id="4"/>
    <w:bookmarkEnd w:id="5"/>
    <w:bookmarkEnd w:id="6"/>
    <w:bookmarkEnd w:id="7"/>
    <w:bookmarkEnd w:id="8"/>
    <w:bookmarkEnd w:id="9"/>
    <w:bookmarkEnd w:id="10"/>
    <w:bookmarkEnd w:id="11"/>
    <w:p w14:paraId="486AE5F7">
      <w:pPr>
        <w:pStyle w:val="11"/>
        <w:tabs>
          <w:tab w:val="right" w:leader="dot" w:pos="8730"/>
        </w:tabs>
        <w:spacing w:before="0" w:after="120" w:afterLines="50" w:line="288" w:lineRule="auto"/>
        <w:ind w:left="0"/>
        <w:jc w:val="center"/>
        <w:outlineLvl w:val="0"/>
        <w:rPr>
          <w:rFonts w:ascii="Times New Roman" w:hAnsi="Times New Roman"/>
          <w:b/>
          <w:bCs/>
          <w:i w:val="0"/>
          <w:iCs w:val="0"/>
          <w:color w:val="000000"/>
          <w:sz w:val="24"/>
          <w:szCs w:val="24"/>
          <w:lang w:val="zh-CN"/>
        </w:rPr>
      </w:pPr>
      <w:bookmarkStart w:id="12" w:name="_Toc491307923"/>
      <w:bookmarkEnd w:id="12"/>
      <w:bookmarkStart w:id="13" w:name="_Toc26949"/>
      <w:bookmarkStart w:id="14" w:name="_Toc20271"/>
      <w:bookmarkStart w:id="15" w:name="_Toc3701"/>
      <w:r>
        <w:rPr>
          <w:rFonts w:ascii="Times New Roman" w:hAnsi="Times New Roman"/>
          <w:b/>
          <w:bCs/>
          <w:i w:val="0"/>
          <w:iCs w:val="0"/>
          <w:color w:val="000000"/>
          <w:sz w:val="32"/>
          <w:szCs w:val="32"/>
          <w:lang w:val="zh-CN"/>
        </w:rPr>
        <w:t>目</w:t>
      </w:r>
      <w:r>
        <w:rPr>
          <w:rFonts w:ascii="Times New Roman" w:hAnsi="Times New Roman"/>
          <w:b/>
          <w:bCs/>
          <w:i w:val="0"/>
          <w:iCs w:val="0"/>
          <w:color w:val="000000"/>
          <w:sz w:val="32"/>
          <w:szCs w:val="32"/>
        </w:rPr>
        <w:t xml:space="preserve">  </w:t>
      </w:r>
      <w:r>
        <w:rPr>
          <w:rFonts w:ascii="Times New Roman" w:hAnsi="Times New Roman"/>
          <w:b/>
          <w:bCs/>
          <w:i w:val="0"/>
          <w:iCs w:val="0"/>
          <w:color w:val="000000"/>
          <w:sz w:val="32"/>
          <w:szCs w:val="32"/>
          <w:lang w:val="zh-CN"/>
        </w:rPr>
        <w:t>录</w:t>
      </w:r>
      <w:bookmarkEnd w:id="13"/>
      <w:bookmarkEnd w:id="14"/>
      <w:bookmarkEnd w:id="15"/>
      <w:r>
        <w:rPr>
          <w:rFonts w:ascii="Times New Roman" w:hAnsi="Times New Roman"/>
          <w:b/>
          <w:bCs/>
          <w:i w:val="0"/>
          <w:iCs w:val="0"/>
          <w:color w:val="000000"/>
          <w:sz w:val="24"/>
          <w:szCs w:val="24"/>
          <w:lang w:val="zh-CN"/>
        </w:rPr>
        <w:t xml:space="preserve"> </w:t>
      </w:r>
    </w:p>
    <w:tbl>
      <w:tblPr>
        <w:tblStyle w:val="12"/>
        <w:tblW w:w="8946" w:type="dxa"/>
        <w:tblInd w:w="0" w:type="dxa"/>
        <w:tblLayout w:type="autofit"/>
        <w:tblCellMar>
          <w:top w:w="0" w:type="dxa"/>
          <w:left w:w="108" w:type="dxa"/>
          <w:bottom w:w="0" w:type="dxa"/>
          <w:right w:w="108" w:type="dxa"/>
        </w:tblCellMar>
      </w:tblPr>
      <w:tblGrid>
        <w:gridCol w:w="4473"/>
        <w:gridCol w:w="4473"/>
      </w:tblGrid>
      <w:tr w14:paraId="2BE6B48E">
        <w:tblPrEx>
          <w:tblCellMar>
            <w:top w:w="0" w:type="dxa"/>
            <w:left w:w="108" w:type="dxa"/>
            <w:bottom w:w="0" w:type="dxa"/>
            <w:right w:w="108" w:type="dxa"/>
          </w:tblCellMar>
        </w:tblPrEx>
        <w:trPr>
          <w:trHeight w:val="680" w:hRule="atLeast"/>
        </w:trPr>
        <w:tc>
          <w:tcPr>
            <w:tcW w:w="8946" w:type="dxa"/>
            <w:gridSpan w:val="2"/>
            <w:noWrap w:val="0"/>
            <w:vAlign w:val="center"/>
          </w:tcPr>
          <w:p w14:paraId="70B03D6D">
            <w:pPr>
              <w:pStyle w:val="10"/>
              <w:tabs>
                <w:tab w:val="right" w:leader="dot" w:pos="8730"/>
              </w:tabs>
              <w:spacing w:before="0" w:after="0" w:line="348" w:lineRule="auto"/>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TOC \o "1-2" \h \u </w:instrText>
            </w:r>
            <w:r>
              <w:rPr>
                <w:rFonts w:ascii="Times New Roman" w:hAnsi="Times New Roman"/>
                <w:color w:val="000000"/>
                <w:sz w:val="24"/>
                <w:szCs w:val="24"/>
              </w:rPr>
              <w:fldChar w:fldCharType="separate"/>
            </w: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\l _Toc17820 </w:instrText>
            </w:r>
            <w:r>
              <w:rPr>
                <w:rFonts w:ascii="Times New Roman" w:hAnsi="Times New Roman"/>
                <w:color w:val="000000"/>
                <w:sz w:val="24"/>
                <w:szCs w:val="24"/>
              </w:rPr>
              <w:fldChar w:fldCharType="separate"/>
            </w:r>
            <w:r>
              <w:rPr>
                <w:rFonts w:ascii="Times New Roman" w:hAnsi="Times New Roman"/>
                <w:color w:val="000000"/>
                <w:sz w:val="24"/>
                <w:szCs w:val="24"/>
              </w:rPr>
              <w:t>1 概述</w:t>
            </w:r>
            <w:r>
              <w:rPr>
                <w:rFonts w:ascii="Times New Roman" w:hAnsi="Times New Roman"/>
                <w:color w:val="000000"/>
                <w:sz w:val="24"/>
                <w:szCs w:val="24"/>
              </w:rPr>
              <w:tab/>
            </w:r>
            <w:r>
              <w:rPr>
                <w:rFonts w:ascii="Times New Roman" w:hAnsi="Times New Roman"/>
                <w:color w:val="000000"/>
                <w:sz w:val="24"/>
                <w:szCs w:val="24"/>
              </w:rPr>
              <w:fldChar w:fldCharType="begin"/>
            </w:r>
            <w:r>
              <w:rPr>
                <w:rFonts w:ascii="Times New Roman" w:hAnsi="Times New Roman"/>
                <w:color w:val="000000"/>
                <w:sz w:val="24"/>
                <w:szCs w:val="24"/>
              </w:rPr>
              <w:instrText xml:space="preserve"> PAGEREF _Toc17820 \h </w:instrText>
            </w:r>
            <w:r>
              <w:rPr>
                <w:rFonts w:ascii="Times New Roman" w:hAnsi="Times New Roman"/>
                <w:color w:val="000000"/>
                <w:sz w:val="24"/>
                <w:szCs w:val="24"/>
              </w:rPr>
              <w:fldChar w:fldCharType="separate"/>
            </w:r>
            <w:r>
              <w:rPr>
                <w:rFonts w:ascii="Times New Roman" w:hAnsi="Times New Roman"/>
                <w:color w:val="000000"/>
                <w:sz w:val="24"/>
                <w:szCs w:val="24"/>
              </w:rPr>
              <w:t>1</w:t>
            </w:r>
            <w:r>
              <w:rPr>
                <w:rFonts w:ascii="Times New Roman" w:hAnsi="Times New Roman"/>
                <w:color w:val="000000"/>
                <w:sz w:val="24"/>
                <w:szCs w:val="24"/>
              </w:rPr>
              <w:fldChar w:fldCharType="end"/>
            </w:r>
            <w:r>
              <w:rPr>
                <w:rFonts w:ascii="Times New Roman" w:hAnsi="Times New Roman"/>
                <w:color w:val="000000"/>
                <w:sz w:val="24"/>
                <w:szCs w:val="24"/>
              </w:rPr>
              <w:fldChar w:fldCharType="end"/>
            </w:r>
          </w:p>
          <w:p w14:paraId="495FEC61">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_Toc8918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1.1 建设项目特点</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_Toc8918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58B9CD96">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_Toc31574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1.2 环境影响评价的工作过程</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_Toc31574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274A38BF">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_Toc19515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1.3 分析判定相关情况</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_Toc19515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07730C17">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_Toc2443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1.4 关注的主要环境问题</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_Toc2443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9</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3F766D63">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_Toc17427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1.5 环境影响评价的主要结论</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_Toc17427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9</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1E34546F">
            <w:pPr>
              <w:pStyle w:val="10"/>
              <w:tabs>
                <w:tab w:val="right" w:leader="dot" w:pos="8730"/>
              </w:tabs>
              <w:spacing w:before="0" w:after="0" w:line="348" w:lineRule="auto"/>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\l _Toc30151 </w:instrText>
            </w:r>
            <w:r>
              <w:rPr>
                <w:rFonts w:ascii="Times New Roman" w:hAnsi="Times New Roman"/>
                <w:color w:val="000000"/>
                <w:sz w:val="24"/>
                <w:szCs w:val="24"/>
              </w:rPr>
              <w:fldChar w:fldCharType="separate"/>
            </w:r>
            <w:r>
              <w:rPr>
                <w:rFonts w:ascii="Times New Roman" w:hAnsi="Times New Roman"/>
                <w:color w:val="000000"/>
                <w:sz w:val="24"/>
                <w:szCs w:val="24"/>
              </w:rPr>
              <w:t>2 总则</w:t>
            </w:r>
            <w:r>
              <w:rPr>
                <w:rFonts w:ascii="Times New Roman" w:hAnsi="Times New Roman"/>
                <w:color w:val="000000"/>
                <w:sz w:val="24"/>
                <w:szCs w:val="24"/>
              </w:rPr>
              <w:tab/>
            </w:r>
            <w:r>
              <w:rPr>
                <w:rFonts w:ascii="Times New Roman" w:hAnsi="Times New Roman"/>
                <w:color w:val="000000"/>
                <w:sz w:val="24"/>
                <w:szCs w:val="24"/>
              </w:rPr>
              <w:fldChar w:fldCharType="begin"/>
            </w:r>
            <w:r>
              <w:rPr>
                <w:rFonts w:ascii="Times New Roman" w:hAnsi="Times New Roman"/>
                <w:color w:val="000000"/>
                <w:sz w:val="24"/>
                <w:szCs w:val="24"/>
              </w:rPr>
              <w:instrText xml:space="preserve"> PAGEREF _Toc30151 \h </w:instrText>
            </w:r>
            <w:r>
              <w:rPr>
                <w:rFonts w:ascii="Times New Roman" w:hAnsi="Times New Roman"/>
                <w:color w:val="000000"/>
                <w:sz w:val="24"/>
                <w:szCs w:val="24"/>
              </w:rPr>
              <w:fldChar w:fldCharType="separate"/>
            </w:r>
            <w:r>
              <w:rPr>
                <w:rFonts w:ascii="Times New Roman" w:hAnsi="Times New Roman"/>
                <w:color w:val="000000"/>
                <w:sz w:val="24"/>
                <w:szCs w:val="24"/>
              </w:rPr>
              <w:t>11</w:t>
            </w:r>
            <w:r>
              <w:rPr>
                <w:rFonts w:ascii="Times New Roman" w:hAnsi="Times New Roman"/>
                <w:color w:val="000000"/>
                <w:sz w:val="24"/>
                <w:szCs w:val="24"/>
              </w:rPr>
              <w:fldChar w:fldCharType="end"/>
            </w:r>
            <w:r>
              <w:rPr>
                <w:rFonts w:ascii="Times New Roman" w:hAnsi="Times New Roman"/>
                <w:color w:val="000000"/>
                <w:sz w:val="24"/>
                <w:szCs w:val="24"/>
              </w:rPr>
              <w:fldChar w:fldCharType="end"/>
            </w:r>
          </w:p>
          <w:p w14:paraId="3DDA83F2">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_Toc21172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2.1 编制依据</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_Toc21172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11</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5FE95039">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_Toc25601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2.2 评价因子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_Toc25601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15</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441E9DF2">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_Toc32080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2.3 评价标准</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_Toc32080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17</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592D8836">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_Toc14699 </w:instrText>
            </w:r>
            <w:r>
              <w:rPr>
                <w:rFonts w:ascii="Times New Roman" w:hAnsi="Times New Roman"/>
                <w:i w:val="0"/>
                <w:iCs w:val="0"/>
                <w:color w:val="000000"/>
                <w:sz w:val="24"/>
                <w:szCs w:val="24"/>
              </w:rPr>
              <w:fldChar w:fldCharType="separate"/>
            </w:r>
            <w:r>
              <w:rPr>
                <w:rFonts w:ascii="Times New Roman" w:hAnsi="Times New Roman"/>
                <w:i w:val="0"/>
                <w:iCs w:val="0"/>
                <w:color w:val="000000"/>
                <w:kern w:val="0"/>
                <w:sz w:val="24"/>
                <w:szCs w:val="24"/>
              </w:rPr>
              <w:t xml:space="preserve">2.4 </w:t>
            </w:r>
            <w:r>
              <w:rPr>
                <w:rFonts w:ascii="Times New Roman" w:hAnsi="Times New Roman"/>
                <w:i w:val="0"/>
                <w:iCs w:val="0"/>
                <w:color w:val="000000"/>
                <w:sz w:val="24"/>
                <w:szCs w:val="24"/>
              </w:rPr>
              <w:t>评价工作等级及评价范围</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_Toc14699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29</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20AAFC2C">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_Toc24053 </w:instrText>
            </w:r>
            <w:r>
              <w:rPr>
                <w:rFonts w:ascii="Times New Roman" w:hAnsi="Times New Roman"/>
                <w:i w:val="0"/>
                <w:iCs w:val="0"/>
                <w:color w:val="000000"/>
                <w:sz w:val="24"/>
                <w:szCs w:val="24"/>
              </w:rPr>
              <w:fldChar w:fldCharType="separate"/>
            </w:r>
            <w:r>
              <w:rPr>
                <w:rFonts w:ascii="Times New Roman" w:hAnsi="Times New Roman"/>
                <w:i w:val="0"/>
                <w:iCs w:val="0"/>
                <w:color w:val="000000"/>
                <w:kern w:val="0"/>
                <w:sz w:val="24"/>
                <w:szCs w:val="24"/>
              </w:rPr>
              <w:t xml:space="preserve">2.5 </w:t>
            </w:r>
            <w:r>
              <w:rPr>
                <w:rFonts w:ascii="Times New Roman" w:hAnsi="Times New Roman"/>
                <w:i w:val="0"/>
                <w:iCs w:val="0"/>
                <w:color w:val="000000"/>
                <w:sz w:val="24"/>
                <w:szCs w:val="24"/>
              </w:rPr>
              <w:t>主要环境保护目标</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_Toc24053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37</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37FFAA47">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_Toc21242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2.6 相关规划及符合性分析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_Toc21242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43</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406E4184">
            <w:pPr>
              <w:pStyle w:val="10"/>
              <w:tabs>
                <w:tab w:val="right" w:leader="dot" w:pos="8730"/>
              </w:tabs>
              <w:spacing w:before="0" w:after="0" w:line="348" w:lineRule="auto"/>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\l _Toc21800 </w:instrText>
            </w:r>
            <w:r>
              <w:rPr>
                <w:rFonts w:ascii="Times New Roman" w:hAnsi="Times New Roman"/>
                <w:color w:val="000000"/>
                <w:sz w:val="24"/>
                <w:szCs w:val="24"/>
              </w:rPr>
              <w:fldChar w:fldCharType="separate"/>
            </w:r>
            <w:r>
              <w:rPr>
                <w:rFonts w:ascii="Times New Roman" w:hAnsi="Times New Roman"/>
                <w:color w:val="000000"/>
                <w:sz w:val="24"/>
                <w:szCs w:val="24"/>
              </w:rPr>
              <w:t>3 建设项目工程分析</w:t>
            </w:r>
            <w:r>
              <w:rPr>
                <w:rFonts w:ascii="Times New Roman" w:hAnsi="Times New Roman"/>
                <w:color w:val="000000"/>
                <w:sz w:val="24"/>
                <w:szCs w:val="24"/>
              </w:rPr>
              <w:tab/>
            </w:r>
            <w:r>
              <w:rPr>
                <w:rFonts w:ascii="Times New Roman" w:hAnsi="Times New Roman"/>
                <w:color w:val="000000"/>
                <w:sz w:val="24"/>
                <w:szCs w:val="24"/>
              </w:rPr>
              <w:fldChar w:fldCharType="begin"/>
            </w:r>
            <w:r>
              <w:rPr>
                <w:rFonts w:ascii="Times New Roman" w:hAnsi="Times New Roman"/>
                <w:color w:val="000000"/>
                <w:sz w:val="24"/>
                <w:szCs w:val="24"/>
              </w:rPr>
              <w:instrText xml:space="preserve"> PAGEREF _Toc21800 \h </w:instrText>
            </w:r>
            <w:r>
              <w:rPr>
                <w:rFonts w:ascii="Times New Roman" w:hAnsi="Times New Roman"/>
                <w:color w:val="000000"/>
                <w:sz w:val="24"/>
                <w:szCs w:val="24"/>
              </w:rPr>
              <w:fldChar w:fldCharType="separate"/>
            </w:r>
            <w:r>
              <w:rPr>
                <w:rFonts w:ascii="Times New Roman" w:hAnsi="Times New Roman"/>
                <w:color w:val="000000"/>
                <w:sz w:val="24"/>
                <w:szCs w:val="24"/>
              </w:rPr>
              <w:t>65</w:t>
            </w:r>
            <w:r>
              <w:rPr>
                <w:rFonts w:ascii="Times New Roman" w:hAnsi="Times New Roman"/>
                <w:color w:val="000000"/>
                <w:sz w:val="24"/>
                <w:szCs w:val="24"/>
              </w:rPr>
              <w:fldChar w:fldCharType="end"/>
            </w:r>
            <w:r>
              <w:rPr>
                <w:rFonts w:ascii="Times New Roman" w:hAnsi="Times New Roman"/>
                <w:color w:val="000000"/>
                <w:sz w:val="24"/>
                <w:szCs w:val="24"/>
              </w:rPr>
              <w:fldChar w:fldCharType="end"/>
            </w:r>
          </w:p>
          <w:p w14:paraId="7A286324">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_Toc12185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3.1 建设项目概况</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_Toc12185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65</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78001D88">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_Toc1718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3.2 主要原辅材料及能源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_Toc1718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74</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1F2368D9">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_Toc27008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3.3 主要构筑物及设备清单</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_Toc27008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76</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12306D16">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_Toc30321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3.4 处理工艺流程</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_Toc30321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80</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3320F296">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_Toc9884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3.5 施工期工程分析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_Toc9884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85</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31D4D591">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_Toc27732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3.6 营运期工程分析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_Toc27732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86</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21C65B1D">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_Toc18163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3.7 非正常排放源强</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_Toc18163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100</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44A2286A">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_Toc26741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3.8 污染物总量控制情况</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_Toc26741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101</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0D1CE1C0">
            <w:pPr>
              <w:pStyle w:val="10"/>
              <w:tabs>
                <w:tab w:val="right" w:leader="dot" w:pos="8730"/>
              </w:tabs>
              <w:spacing w:before="0" w:after="0" w:line="348" w:lineRule="auto"/>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\l _Toc4542 </w:instrText>
            </w:r>
            <w:r>
              <w:rPr>
                <w:rFonts w:ascii="Times New Roman" w:hAnsi="Times New Roman"/>
                <w:color w:val="000000"/>
                <w:sz w:val="24"/>
                <w:szCs w:val="24"/>
              </w:rPr>
              <w:fldChar w:fldCharType="separate"/>
            </w:r>
            <w:r>
              <w:rPr>
                <w:rFonts w:ascii="Times New Roman" w:hAnsi="Times New Roman"/>
                <w:color w:val="000000"/>
                <w:sz w:val="24"/>
                <w:szCs w:val="24"/>
              </w:rPr>
              <w:t>4 环境现状调查与评价</w:t>
            </w:r>
            <w:r>
              <w:rPr>
                <w:rFonts w:ascii="Times New Roman" w:hAnsi="Times New Roman"/>
                <w:color w:val="000000"/>
                <w:sz w:val="24"/>
                <w:szCs w:val="24"/>
              </w:rPr>
              <w:tab/>
            </w:r>
            <w:r>
              <w:rPr>
                <w:rFonts w:ascii="Times New Roman" w:hAnsi="Times New Roman"/>
                <w:color w:val="000000"/>
                <w:sz w:val="24"/>
                <w:szCs w:val="24"/>
              </w:rPr>
              <w:fldChar w:fldCharType="begin"/>
            </w:r>
            <w:r>
              <w:rPr>
                <w:rFonts w:ascii="Times New Roman" w:hAnsi="Times New Roman"/>
                <w:color w:val="000000"/>
                <w:sz w:val="24"/>
                <w:szCs w:val="24"/>
              </w:rPr>
              <w:instrText xml:space="preserve"> PAGEREF _Toc4542 \h </w:instrText>
            </w:r>
            <w:r>
              <w:rPr>
                <w:rFonts w:ascii="Times New Roman" w:hAnsi="Times New Roman"/>
                <w:color w:val="000000"/>
                <w:sz w:val="24"/>
                <w:szCs w:val="24"/>
              </w:rPr>
              <w:fldChar w:fldCharType="separate"/>
            </w:r>
            <w:r>
              <w:rPr>
                <w:rFonts w:ascii="Times New Roman" w:hAnsi="Times New Roman"/>
                <w:color w:val="000000"/>
                <w:sz w:val="24"/>
                <w:szCs w:val="24"/>
              </w:rPr>
              <w:t>105</w:t>
            </w:r>
            <w:r>
              <w:rPr>
                <w:rFonts w:ascii="Times New Roman" w:hAnsi="Times New Roman"/>
                <w:color w:val="000000"/>
                <w:sz w:val="24"/>
                <w:szCs w:val="24"/>
              </w:rPr>
              <w:fldChar w:fldCharType="end"/>
            </w:r>
            <w:r>
              <w:rPr>
                <w:rFonts w:ascii="Times New Roman" w:hAnsi="Times New Roman"/>
                <w:color w:val="000000"/>
                <w:sz w:val="24"/>
                <w:szCs w:val="24"/>
              </w:rPr>
              <w:fldChar w:fldCharType="end"/>
            </w:r>
          </w:p>
          <w:p w14:paraId="1799A03F">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_Toc18082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4.1 自然环境概况</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_Toc18082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105</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5AC6C482">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_Toc18221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4.2 环境质量现状与评价</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_Toc18221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110</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78752746">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_Toc5015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4.3 区域污染源调查</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_Toc5015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144</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1E99CC0A">
            <w:pPr>
              <w:pStyle w:val="10"/>
              <w:tabs>
                <w:tab w:val="right" w:leader="dot" w:pos="8730"/>
              </w:tabs>
              <w:spacing w:before="0" w:after="0" w:line="348" w:lineRule="auto"/>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\l _Toc296 </w:instrText>
            </w:r>
            <w:r>
              <w:rPr>
                <w:rFonts w:ascii="Times New Roman" w:hAnsi="Times New Roman"/>
                <w:color w:val="000000"/>
                <w:sz w:val="24"/>
                <w:szCs w:val="24"/>
              </w:rPr>
              <w:fldChar w:fldCharType="separate"/>
            </w:r>
            <w:r>
              <w:rPr>
                <w:rFonts w:ascii="Times New Roman" w:hAnsi="Times New Roman"/>
                <w:color w:val="000000"/>
                <w:sz w:val="24"/>
                <w:szCs w:val="24"/>
              </w:rPr>
              <w:t>5 环境影响预测与评价</w:t>
            </w:r>
            <w:r>
              <w:rPr>
                <w:rFonts w:ascii="Times New Roman" w:hAnsi="Times New Roman"/>
                <w:color w:val="000000"/>
                <w:sz w:val="24"/>
                <w:szCs w:val="24"/>
              </w:rPr>
              <w:tab/>
            </w:r>
            <w:r>
              <w:rPr>
                <w:rFonts w:ascii="Times New Roman" w:hAnsi="Times New Roman"/>
                <w:color w:val="000000"/>
                <w:sz w:val="24"/>
                <w:szCs w:val="24"/>
              </w:rPr>
              <w:fldChar w:fldCharType="begin"/>
            </w:r>
            <w:r>
              <w:rPr>
                <w:rFonts w:ascii="Times New Roman" w:hAnsi="Times New Roman"/>
                <w:color w:val="000000"/>
                <w:sz w:val="24"/>
                <w:szCs w:val="24"/>
              </w:rPr>
              <w:instrText xml:space="preserve"> PAGEREF _Toc296 \h </w:instrText>
            </w:r>
            <w:r>
              <w:rPr>
                <w:rFonts w:ascii="Times New Roman" w:hAnsi="Times New Roman"/>
                <w:color w:val="000000"/>
                <w:sz w:val="24"/>
                <w:szCs w:val="24"/>
              </w:rPr>
              <w:fldChar w:fldCharType="separate"/>
            </w:r>
            <w:r>
              <w:rPr>
                <w:rFonts w:ascii="Times New Roman" w:hAnsi="Times New Roman"/>
                <w:color w:val="000000"/>
                <w:sz w:val="24"/>
                <w:szCs w:val="24"/>
              </w:rPr>
              <w:t>145</w:t>
            </w:r>
            <w:r>
              <w:rPr>
                <w:rFonts w:ascii="Times New Roman" w:hAnsi="Times New Roman"/>
                <w:color w:val="000000"/>
                <w:sz w:val="24"/>
                <w:szCs w:val="24"/>
              </w:rPr>
              <w:fldChar w:fldCharType="end"/>
            </w:r>
            <w:r>
              <w:rPr>
                <w:rFonts w:ascii="Times New Roman" w:hAnsi="Times New Roman"/>
                <w:color w:val="000000"/>
                <w:sz w:val="24"/>
                <w:szCs w:val="24"/>
              </w:rPr>
              <w:fldChar w:fldCharType="end"/>
            </w:r>
          </w:p>
          <w:p w14:paraId="1626ABF9">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_Toc18740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5.1 施工期环境影响分析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_Toc18740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145</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64EB2606">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_Toc25415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5.2 大气环境影响预测与评价</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_Toc25415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150</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0A88F2AF">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_Toc4383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5.3 地表水环境影响预测与评价</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_Toc4383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160</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2AA711B4">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_Toc27059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5.4 地下水环境影响预测与评价</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_Toc27059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230</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34B52995">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_Toc32527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5.5 声环境影响分析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_Toc32527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247</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78233DFF">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_Toc10031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5.6 固废影响分析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_Toc10031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251</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31C825EB">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_Toc14628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5.7 土壤影响分析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_Toc14628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253</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1951AAF9">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_Toc23416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5.8 环境风险影响评价</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_Toc23416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256</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63DC2B1C">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_Toc18001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5.9 生态环境风险影响分析与评价</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_Toc18001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267</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72C9B46D">
            <w:pPr>
              <w:pStyle w:val="10"/>
              <w:tabs>
                <w:tab w:val="right" w:leader="dot" w:pos="8730"/>
              </w:tabs>
              <w:spacing w:before="0" w:after="0" w:line="348" w:lineRule="auto"/>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\l _Toc16632 </w:instrText>
            </w:r>
            <w:r>
              <w:rPr>
                <w:rFonts w:ascii="Times New Roman" w:hAnsi="Times New Roman"/>
                <w:color w:val="000000"/>
                <w:sz w:val="24"/>
                <w:szCs w:val="24"/>
              </w:rPr>
              <w:fldChar w:fldCharType="separate"/>
            </w:r>
            <w:r>
              <w:rPr>
                <w:rFonts w:ascii="Times New Roman" w:hAnsi="Times New Roman"/>
                <w:color w:val="000000"/>
                <w:sz w:val="24"/>
                <w:szCs w:val="24"/>
              </w:rPr>
              <w:t>6 环境保护措施及其可行性论证</w:t>
            </w:r>
            <w:r>
              <w:rPr>
                <w:rFonts w:ascii="Times New Roman" w:hAnsi="Times New Roman"/>
                <w:color w:val="000000"/>
                <w:sz w:val="24"/>
                <w:szCs w:val="24"/>
              </w:rPr>
              <w:tab/>
            </w:r>
            <w:r>
              <w:rPr>
                <w:rFonts w:ascii="Times New Roman" w:hAnsi="Times New Roman"/>
                <w:color w:val="000000"/>
                <w:sz w:val="24"/>
                <w:szCs w:val="24"/>
              </w:rPr>
              <w:fldChar w:fldCharType="begin"/>
            </w:r>
            <w:r>
              <w:rPr>
                <w:rFonts w:ascii="Times New Roman" w:hAnsi="Times New Roman"/>
                <w:color w:val="000000"/>
                <w:sz w:val="24"/>
                <w:szCs w:val="24"/>
              </w:rPr>
              <w:instrText xml:space="preserve"> PAGEREF _Toc16632 \h </w:instrText>
            </w:r>
            <w:r>
              <w:rPr>
                <w:rFonts w:ascii="Times New Roman" w:hAnsi="Times New Roman"/>
                <w:color w:val="000000"/>
                <w:sz w:val="24"/>
                <w:szCs w:val="24"/>
              </w:rPr>
              <w:fldChar w:fldCharType="separate"/>
            </w:r>
            <w:r>
              <w:rPr>
                <w:rFonts w:ascii="Times New Roman" w:hAnsi="Times New Roman"/>
                <w:color w:val="000000"/>
                <w:sz w:val="24"/>
                <w:szCs w:val="24"/>
              </w:rPr>
              <w:t>283</w:t>
            </w:r>
            <w:r>
              <w:rPr>
                <w:rFonts w:ascii="Times New Roman" w:hAnsi="Times New Roman"/>
                <w:color w:val="000000"/>
                <w:sz w:val="24"/>
                <w:szCs w:val="24"/>
              </w:rPr>
              <w:fldChar w:fldCharType="end"/>
            </w:r>
            <w:r>
              <w:rPr>
                <w:rFonts w:ascii="Times New Roman" w:hAnsi="Times New Roman"/>
                <w:color w:val="000000"/>
                <w:sz w:val="24"/>
                <w:szCs w:val="24"/>
              </w:rPr>
              <w:fldChar w:fldCharType="end"/>
            </w:r>
          </w:p>
          <w:p w14:paraId="7EAC2780">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_Toc19804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6.1 施工期污染防治措施分析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_Toc19804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283</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6471D981">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_Toc26969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6.2 营运期污染防治措施分析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_Toc26969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286</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7B4E2CFE">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_Toc28502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6.3 污染物防治清单</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_Toc28502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304</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12CC178E">
            <w:pPr>
              <w:pStyle w:val="10"/>
              <w:tabs>
                <w:tab w:val="right" w:leader="dot" w:pos="8730"/>
              </w:tabs>
              <w:spacing w:before="0" w:after="0" w:line="348" w:lineRule="auto"/>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\l _Toc14125 </w:instrText>
            </w:r>
            <w:r>
              <w:rPr>
                <w:rFonts w:ascii="Times New Roman" w:hAnsi="Times New Roman"/>
                <w:color w:val="000000"/>
                <w:sz w:val="24"/>
                <w:szCs w:val="24"/>
              </w:rPr>
              <w:fldChar w:fldCharType="separate"/>
            </w:r>
            <w:r>
              <w:rPr>
                <w:rFonts w:ascii="Times New Roman" w:hAnsi="Times New Roman"/>
                <w:color w:val="000000"/>
                <w:sz w:val="24"/>
                <w:szCs w:val="24"/>
              </w:rPr>
              <w:t>7 环境影响经济损益分析</w:t>
            </w:r>
            <w:r>
              <w:rPr>
                <w:rFonts w:ascii="Times New Roman" w:hAnsi="Times New Roman"/>
                <w:color w:val="000000"/>
                <w:sz w:val="24"/>
                <w:szCs w:val="24"/>
              </w:rPr>
              <w:tab/>
            </w:r>
            <w:r>
              <w:rPr>
                <w:rFonts w:ascii="Times New Roman" w:hAnsi="Times New Roman"/>
                <w:color w:val="000000"/>
                <w:sz w:val="24"/>
                <w:szCs w:val="24"/>
              </w:rPr>
              <w:fldChar w:fldCharType="begin"/>
            </w:r>
            <w:r>
              <w:rPr>
                <w:rFonts w:ascii="Times New Roman" w:hAnsi="Times New Roman"/>
                <w:color w:val="000000"/>
                <w:sz w:val="24"/>
                <w:szCs w:val="24"/>
              </w:rPr>
              <w:instrText xml:space="preserve"> PAGEREF _Toc14125 \h </w:instrText>
            </w:r>
            <w:r>
              <w:rPr>
                <w:rFonts w:ascii="Times New Roman" w:hAnsi="Times New Roman"/>
                <w:color w:val="000000"/>
                <w:sz w:val="24"/>
                <w:szCs w:val="24"/>
              </w:rPr>
              <w:fldChar w:fldCharType="separate"/>
            </w:r>
            <w:r>
              <w:rPr>
                <w:rFonts w:ascii="Times New Roman" w:hAnsi="Times New Roman"/>
                <w:color w:val="000000"/>
                <w:sz w:val="24"/>
                <w:szCs w:val="24"/>
              </w:rPr>
              <w:t>307</w:t>
            </w:r>
            <w:r>
              <w:rPr>
                <w:rFonts w:ascii="Times New Roman" w:hAnsi="Times New Roman"/>
                <w:color w:val="000000"/>
                <w:sz w:val="24"/>
                <w:szCs w:val="24"/>
              </w:rPr>
              <w:fldChar w:fldCharType="end"/>
            </w:r>
            <w:r>
              <w:rPr>
                <w:rFonts w:ascii="Times New Roman" w:hAnsi="Times New Roman"/>
                <w:color w:val="000000"/>
                <w:sz w:val="24"/>
                <w:szCs w:val="24"/>
              </w:rPr>
              <w:fldChar w:fldCharType="end"/>
            </w:r>
          </w:p>
          <w:p w14:paraId="1842C326">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_Toc23343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7.1 环境资源损益分析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_Toc23343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307</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03189254">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_Toc8643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7.2 社会损益分析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_Toc8643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309</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77AD7AFC">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_Toc1707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7.3 经济损益分析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_Toc1707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310</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6C433461">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_Toc31928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7.4 小结</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_Toc31928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311</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008AF047">
            <w:pPr>
              <w:pStyle w:val="10"/>
              <w:tabs>
                <w:tab w:val="right" w:leader="dot" w:pos="8730"/>
              </w:tabs>
              <w:spacing w:before="0" w:after="0" w:line="348" w:lineRule="auto"/>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\l _Toc51 </w:instrText>
            </w:r>
            <w:r>
              <w:rPr>
                <w:rFonts w:ascii="Times New Roman" w:hAnsi="Times New Roman"/>
                <w:color w:val="000000"/>
                <w:sz w:val="24"/>
                <w:szCs w:val="24"/>
              </w:rPr>
              <w:fldChar w:fldCharType="separate"/>
            </w:r>
            <w:r>
              <w:rPr>
                <w:rFonts w:ascii="Times New Roman" w:hAnsi="Times New Roman"/>
                <w:color w:val="000000"/>
                <w:sz w:val="24"/>
                <w:szCs w:val="24"/>
              </w:rPr>
              <w:t>8 环境管理与监测计划</w:t>
            </w:r>
            <w:r>
              <w:rPr>
                <w:rFonts w:ascii="Times New Roman" w:hAnsi="Times New Roman"/>
                <w:color w:val="000000"/>
                <w:sz w:val="24"/>
                <w:szCs w:val="24"/>
              </w:rPr>
              <w:tab/>
            </w:r>
            <w:r>
              <w:rPr>
                <w:rFonts w:ascii="Times New Roman" w:hAnsi="Times New Roman"/>
                <w:color w:val="000000"/>
                <w:sz w:val="24"/>
                <w:szCs w:val="24"/>
              </w:rPr>
              <w:fldChar w:fldCharType="begin"/>
            </w:r>
            <w:r>
              <w:rPr>
                <w:rFonts w:ascii="Times New Roman" w:hAnsi="Times New Roman"/>
                <w:color w:val="000000"/>
                <w:sz w:val="24"/>
                <w:szCs w:val="24"/>
              </w:rPr>
              <w:instrText xml:space="preserve"> PAGEREF _Toc51 \h </w:instrText>
            </w:r>
            <w:r>
              <w:rPr>
                <w:rFonts w:ascii="Times New Roman" w:hAnsi="Times New Roman"/>
                <w:color w:val="000000"/>
                <w:sz w:val="24"/>
                <w:szCs w:val="24"/>
              </w:rPr>
              <w:fldChar w:fldCharType="separate"/>
            </w:r>
            <w:r>
              <w:rPr>
                <w:rFonts w:ascii="Times New Roman" w:hAnsi="Times New Roman"/>
                <w:color w:val="000000"/>
                <w:sz w:val="24"/>
                <w:szCs w:val="24"/>
              </w:rPr>
              <w:t>312</w:t>
            </w:r>
            <w:r>
              <w:rPr>
                <w:rFonts w:ascii="Times New Roman" w:hAnsi="Times New Roman"/>
                <w:color w:val="000000"/>
                <w:sz w:val="24"/>
                <w:szCs w:val="24"/>
              </w:rPr>
              <w:fldChar w:fldCharType="end"/>
            </w:r>
            <w:r>
              <w:rPr>
                <w:rFonts w:ascii="Times New Roman" w:hAnsi="Times New Roman"/>
                <w:color w:val="000000"/>
                <w:sz w:val="24"/>
                <w:szCs w:val="24"/>
              </w:rPr>
              <w:fldChar w:fldCharType="end"/>
            </w:r>
          </w:p>
          <w:p w14:paraId="44CC6EF3">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_Toc2314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8.1 环境管理</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_Toc2314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312</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14F3EC74">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_Toc10275 </w:instrText>
            </w:r>
            <w:r>
              <w:rPr>
                <w:rFonts w:ascii="Times New Roman" w:hAnsi="Times New Roman"/>
                <w:i w:val="0"/>
                <w:iCs w:val="0"/>
                <w:color w:val="000000"/>
                <w:sz w:val="24"/>
                <w:szCs w:val="24"/>
              </w:rPr>
              <w:fldChar w:fldCharType="separate"/>
            </w:r>
            <w:r>
              <w:rPr>
                <w:rFonts w:ascii="Times New Roman" w:hAnsi="Times New Roman"/>
                <w:i w:val="0"/>
                <w:iCs w:val="0"/>
                <w:color w:val="000000"/>
                <w:kern w:val="0"/>
                <w:sz w:val="24"/>
                <w:szCs w:val="24"/>
              </w:rPr>
              <w:t xml:space="preserve">8.2 </w:t>
            </w:r>
            <w:r>
              <w:rPr>
                <w:rFonts w:ascii="Times New Roman" w:hAnsi="Times New Roman"/>
                <w:i w:val="0"/>
                <w:iCs w:val="0"/>
                <w:color w:val="000000"/>
                <w:sz w:val="24"/>
                <w:szCs w:val="24"/>
              </w:rPr>
              <w:t>污染物排放清单</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_Toc10275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316</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3AC2431C">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_Toc941 </w:instrText>
            </w:r>
            <w:r>
              <w:rPr>
                <w:rFonts w:ascii="Times New Roman" w:hAnsi="Times New Roman"/>
                <w:i w:val="0"/>
                <w:iCs w:val="0"/>
                <w:color w:val="000000"/>
                <w:sz w:val="24"/>
                <w:szCs w:val="24"/>
              </w:rPr>
              <w:fldChar w:fldCharType="separate"/>
            </w:r>
            <w:r>
              <w:rPr>
                <w:rFonts w:ascii="Times New Roman" w:hAnsi="Times New Roman"/>
                <w:i w:val="0"/>
                <w:iCs w:val="0"/>
                <w:color w:val="000000"/>
                <w:kern w:val="0"/>
                <w:sz w:val="24"/>
                <w:szCs w:val="24"/>
              </w:rPr>
              <w:t xml:space="preserve">8.3 </w:t>
            </w:r>
            <w:r>
              <w:rPr>
                <w:rFonts w:ascii="Times New Roman" w:hAnsi="Times New Roman"/>
                <w:i w:val="0"/>
                <w:iCs w:val="0"/>
                <w:color w:val="000000"/>
                <w:sz w:val="24"/>
                <w:szCs w:val="24"/>
              </w:rPr>
              <w:t>自行监测管理要求</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_Toc941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318</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3C2EE0F0">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_Toc21884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8.4 环境保护验收</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_Toc21884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320</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4D5A7E47">
            <w:pPr>
              <w:pStyle w:val="10"/>
              <w:tabs>
                <w:tab w:val="right" w:leader="dot" w:pos="8730"/>
              </w:tabs>
              <w:spacing w:before="0" w:after="0" w:line="348" w:lineRule="auto"/>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\l _Toc17916 </w:instrText>
            </w:r>
            <w:r>
              <w:rPr>
                <w:rFonts w:ascii="Times New Roman" w:hAnsi="Times New Roman"/>
                <w:color w:val="000000"/>
                <w:sz w:val="24"/>
                <w:szCs w:val="24"/>
              </w:rPr>
              <w:fldChar w:fldCharType="separate"/>
            </w:r>
            <w:r>
              <w:rPr>
                <w:rFonts w:ascii="Times New Roman" w:hAnsi="Times New Roman"/>
                <w:color w:val="000000"/>
                <w:sz w:val="24"/>
                <w:szCs w:val="24"/>
              </w:rPr>
              <w:t>9 环境影响评价结论</w:t>
            </w:r>
            <w:r>
              <w:rPr>
                <w:rFonts w:ascii="Times New Roman" w:hAnsi="Times New Roman"/>
                <w:color w:val="000000"/>
                <w:sz w:val="24"/>
                <w:szCs w:val="24"/>
              </w:rPr>
              <w:tab/>
            </w:r>
            <w:r>
              <w:rPr>
                <w:rFonts w:ascii="Times New Roman" w:hAnsi="Times New Roman"/>
                <w:color w:val="000000"/>
                <w:sz w:val="24"/>
                <w:szCs w:val="24"/>
              </w:rPr>
              <w:fldChar w:fldCharType="begin"/>
            </w:r>
            <w:r>
              <w:rPr>
                <w:rFonts w:ascii="Times New Roman" w:hAnsi="Times New Roman"/>
                <w:color w:val="000000"/>
                <w:sz w:val="24"/>
                <w:szCs w:val="24"/>
              </w:rPr>
              <w:instrText xml:space="preserve"> PAGEREF _Toc17916 \h </w:instrText>
            </w:r>
            <w:r>
              <w:rPr>
                <w:rFonts w:ascii="Times New Roman" w:hAnsi="Times New Roman"/>
                <w:color w:val="000000"/>
                <w:sz w:val="24"/>
                <w:szCs w:val="24"/>
              </w:rPr>
              <w:fldChar w:fldCharType="separate"/>
            </w:r>
            <w:r>
              <w:rPr>
                <w:rFonts w:ascii="Times New Roman" w:hAnsi="Times New Roman"/>
                <w:color w:val="000000"/>
                <w:sz w:val="24"/>
                <w:szCs w:val="24"/>
              </w:rPr>
              <w:t>324</w:t>
            </w:r>
            <w:r>
              <w:rPr>
                <w:rFonts w:ascii="Times New Roman" w:hAnsi="Times New Roman"/>
                <w:color w:val="000000"/>
                <w:sz w:val="24"/>
                <w:szCs w:val="24"/>
              </w:rPr>
              <w:fldChar w:fldCharType="end"/>
            </w:r>
            <w:r>
              <w:rPr>
                <w:rFonts w:ascii="Times New Roman" w:hAnsi="Times New Roman"/>
                <w:color w:val="000000"/>
                <w:sz w:val="24"/>
                <w:szCs w:val="24"/>
              </w:rPr>
              <w:fldChar w:fldCharType="end"/>
            </w:r>
          </w:p>
          <w:p w14:paraId="7F000D77">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_Toc18719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9.1 建设项目概况</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_Toc18719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324</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571CE1E3">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_Toc28284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9.2 环境现状结论</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_Toc28284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324</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6F21B3DE">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_Toc11269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9.3 项目工程结论分析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_Toc11269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326</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43A0067C">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_Toc31932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9.4 环境影响分析结论</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_Toc31932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329</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53A35408">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_Toc30733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9.5 环评审批原则符合性分析</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_Toc30733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331</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0D858B16">
            <w:pPr>
              <w:pStyle w:val="11"/>
              <w:tabs>
                <w:tab w:val="right" w:leader="dot" w:pos="8730"/>
              </w:tabs>
              <w:spacing w:before="0" w:line="348" w:lineRule="auto"/>
              <w:rPr>
                <w:rFonts w:ascii="Times New Roman" w:hAnsi="Times New Roman"/>
                <w:i w:val="0"/>
                <w:iCs w:val="0"/>
                <w:color w:val="000000"/>
                <w:sz w:val="24"/>
                <w:szCs w:val="24"/>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_Toc24938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9.6 建议</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_Toc24938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333</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5480776D">
            <w:pPr>
              <w:pStyle w:val="11"/>
              <w:tabs>
                <w:tab w:val="right" w:leader="dot" w:pos="8730"/>
              </w:tabs>
              <w:spacing w:before="0" w:line="348" w:lineRule="auto"/>
              <w:rPr>
                <w:color w:val="000000"/>
              </w:rPr>
            </w:pP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HYPERLINK \l _Toc26706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9.7 总结论</w:t>
            </w:r>
            <w:r>
              <w:rPr>
                <w:rFonts w:ascii="Times New Roman" w:hAnsi="Times New Roman"/>
                <w:i w:val="0"/>
                <w:iCs w:val="0"/>
                <w:color w:val="000000"/>
                <w:sz w:val="24"/>
                <w:szCs w:val="24"/>
              </w:rPr>
              <w:tab/>
            </w:r>
            <w:r>
              <w:rPr>
                <w:rFonts w:ascii="Times New Roman" w:hAnsi="Times New Roman"/>
                <w:i w:val="0"/>
                <w:iCs w:val="0"/>
                <w:color w:val="000000"/>
                <w:sz w:val="24"/>
                <w:szCs w:val="24"/>
              </w:rPr>
              <w:fldChar w:fldCharType="begin"/>
            </w:r>
            <w:r>
              <w:rPr>
                <w:rFonts w:ascii="Times New Roman" w:hAnsi="Times New Roman"/>
                <w:i w:val="0"/>
                <w:iCs w:val="0"/>
                <w:color w:val="000000"/>
                <w:sz w:val="24"/>
                <w:szCs w:val="24"/>
              </w:rPr>
              <w:instrText xml:space="preserve"> PAGEREF _Toc26706 \h </w:instrText>
            </w:r>
            <w:r>
              <w:rPr>
                <w:rFonts w:ascii="Times New Roman" w:hAnsi="Times New Roman"/>
                <w:i w:val="0"/>
                <w:iCs w:val="0"/>
                <w:color w:val="000000"/>
                <w:sz w:val="24"/>
                <w:szCs w:val="24"/>
              </w:rPr>
              <w:fldChar w:fldCharType="separate"/>
            </w:r>
            <w:r>
              <w:rPr>
                <w:rFonts w:ascii="Times New Roman" w:hAnsi="Times New Roman"/>
                <w:i w:val="0"/>
                <w:iCs w:val="0"/>
                <w:color w:val="000000"/>
                <w:sz w:val="24"/>
                <w:szCs w:val="24"/>
              </w:rPr>
              <w:t>334</w:t>
            </w:r>
            <w:r>
              <w:rPr>
                <w:rFonts w:ascii="Times New Roman" w:hAnsi="Times New Roman"/>
                <w:i w:val="0"/>
                <w:iCs w:val="0"/>
                <w:color w:val="000000"/>
                <w:sz w:val="24"/>
                <w:szCs w:val="24"/>
              </w:rPr>
              <w:fldChar w:fldCharType="end"/>
            </w:r>
            <w:r>
              <w:rPr>
                <w:rFonts w:ascii="Times New Roman" w:hAnsi="Times New Roman"/>
                <w:i w:val="0"/>
                <w:iCs w:val="0"/>
                <w:color w:val="000000"/>
                <w:sz w:val="24"/>
                <w:szCs w:val="24"/>
              </w:rPr>
              <w:fldChar w:fldCharType="end"/>
            </w:r>
          </w:p>
          <w:p w14:paraId="02B8157D">
            <w:pPr>
              <w:pStyle w:val="11"/>
              <w:tabs>
                <w:tab w:val="right" w:leader="dot" w:pos="8730"/>
              </w:tabs>
              <w:spacing w:before="0" w:line="298" w:lineRule="auto"/>
              <w:ind w:left="0"/>
              <w:rPr>
                <w:rFonts w:ascii="Times New Roman" w:hAnsi="Times New Roman"/>
                <w:i w:val="0"/>
                <w:iCs w:val="0"/>
                <w:color w:val="000000"/>
                <w:sz w:val="24"/>
                <w:szCs w:val="24"/>
                <w:lang w:val="zh-CN"/>
              </w:rPr>
            </w:pPr>
            <w:r>
              <w:rPr>
                <w:rFonts w:ascii="Times New Roman" w:hAnsi="Times New Roman"/>
                <w:i w:val="0"/>
                <w:iCs w:val="0"/>
                <w:color w:val="000000"/>
                <w:szCs w:val="24"/>
              </w:rPr>
              <w:fldChar w:fldCharType="end"/>
            </w:r>
            <w:r>
              <w:rPr>
                <w:rFonts w:hint="eastAsia" w:ascii="Times New Roman" w:hAnsi="Times New Roman"/>
                <w:b/>
                <w:bCs/>
                <w:i w:val="0"/>
                <w:iCs w:val="0"/>
                <w:color w:val="000000"/>
                <w:kern w:val="0"/>
                <w:sz w:val="28"/>
                <w:szCs w:val="28"/>
              </w:rPr>
              <w:t>附 图</w:t>
            </w:r>
          </w:p>
        </w:tc>
      </w:tr>
      <w:tr w14:paraId="2C795566">
        <w:tblPrEx>
          <w:tblCellMar>
            <w:top w:w="0" w:type="dxa"/>
            <w:left w:w="108" w:type="dxa"/>
            <w:bottom w:w="0" w:type="dxa"/>
            <w:right w:w="108" w:type="dxa"/>
          </w:tblCellMar>
        </w:tblPrEx>
        <w:trPr>
          <w:trHeight w:val="680" w:hRule="atLeast"/>
        </w:trPr>
        <w:tc>
          <w:tcPr>
            <w:tcW w:w="4473" w:type="dxa"/>
            <w:noWrap w:val="0"/>
            <w:vAlign w:val="top"/>
          </w:tcPr>
          <w:p w14:paraId="20AF0E5B">
            <w:pPr>
              <w:adjustRightInd w:val="0"/>
              <w:snapToGrid w:val="0"/>
              <w:jc w:val="left"/>
              <w:rPr>
                <w:rFonts w:hint="eastAsia"/>
                <w:b/>
                <w:bCs/>
                <w:color w:val="000000"/>
                <w:sz w:val="24"/>
              </w:rPr>
            </w:pPr>
            <w:r>
              <w:rPr>
                <w:rFonts w:hint="eastAsia"/>
                <w:color w:val="000000"/>
                <w:kern w:val="0"/>
                <w:sz w:val="24"/>
              </w:rPr>
              <w:t>附图</w:t>
            </w:r>
            <w:r>
              <w:rPr>
                <w:color w:val="000000"/>
                <w:kern w:val="0"/>
                <w:sz w:val="24"/>
              </w:rPr>
              <w:t>1</w:t>
            </w:r>
            <w:r>
              <w:rPr>
                <w:rFonts w:hint="eastAsia"/>
                <w:color w:val="000000"/>
                <w:kern w:val="0"/>
                <w:sz w:val="24"/>
              </w:rPr>
              <w:t>：建设项目地理位置图</w:t>
            </w:r>
          </w:p>
        </w:tc>
        <w:tc>
          <w:tcPr>
            <w:tcW w:w="4473" w:type="dxa"/>
            <w:noWrap w:val="0"/>
            <w:vAlign w:val="top"/>
          </w:tcPr>
          <w:p w14:paraId="1CF4277B">
            <w:pPr>
              <w:adjustRightInd w:val="0"/>
              <w:snapToGrid w:val="0"/>
              <w:jc w:val="left"/>
              <w:rPr>
                <w:b/>
                <w:bCs/>
                <w:color w:val="000000"/>
                <w:sz w:val="24"/>
              </w:rPr>
            </w:pPr>
            <w:r>
              <w:rPr>
                <w:rFonts w:hint="eastAsia"/>
                <w:color w:val="000000"/>
                <w:kern w:val="0"/>
                <w:sz w:val="24"/>
              </w:rPr>
              <w:t>附图2：建设项目周边环境概况图</w:t>
            </w:r>
          </w:p>
        </w:tc>
      </w:tr>
      <w:tr w14:paraId="701A7930">
        <w:tblPrEx>
          <w:tblCellMar>
            <w:top w:w="0" w:type="dxa"/>
            <w:left w:w="108" w:type="dxa"/>
            <w:bottom w:w="0" w:type="dxa"/>
            <w:right w:w="108" w:type="dxa"/>
          </w:tblCellMar>
        </w:tblPrEx>
        <w:trPr>
          <w:trHeight w:val="680" w:hRule="atLeast"/>
        </w:trPr>
        <w:tc>
          <w:tcPr>
            <w:tcW w:w="4473" w:type="dxa"/>
            <w:noWrap w:val="0"/>
            <w:vAlign w:val="top"/>
          </w:tcPr>
          <w:p w14:paraId="3BF7A7B8">
            <w:pPr>
              <w:adjustRightInd w:val="0"/>
              <w:snapToGrid w:val="0"/>
              <w:jc w:val="left"/>
              <w:rPr>
                <w:rFonts w:hint="eastAsia"/>
                <w:b/>
                <w:bCs/>
                <w:color w:val="000000"/>
                <w:sz w:val="24"/>
              </w:rPr>
            </w:pPr>
            <w:r>
              <w:rPr>
                <w:rFonts w:hint="eastAsia"/>
                <w:color w:val="000000"/>
                <w:kern w:val="0"/>
                <w:sz w:val="24"/>
              </w:rPr>
              <w:t>附图3：</w:t>
            </w:r>
            <w:r>
              <w:rPr>
                <w:rFonts w:hint="eastAsia"/>
                <w:color w:val="000000"/>
                <w:sz w:val="24"/>
              </w:rPr>
              <w:t>环境保护目标分布图</w:t>
            </w:r>
          </w:p>
        </w:tc>
        <w:tc>
          <w:tcPr>
            <w:tcW w:w="4473" w:type="dxa"/>
            <w:noWrap w:val="0"/>
            <w:vAlign w:val="top"/>
          </w:tcPr>
          <w:p w14:paraId="4510A3DC">
            <w:pPr>
              <w:adjustRightInd w:val="0"/>
              <w:snapToGrid w:val="0"/>
              <w:jc w:val="left"/>
              <w:rPr>
                <w:b/>
                <w:bCs/>
                <w:color w:val="000000"/>
                <w:sz w:val="24"/>
              </w:rPr>
            </w:pPr>
            <w:r>
              <w:rPr>
                <w:rFonts w:hint="eastAsia"/>
                <w:color w:val="000000"/>
                <w:kern w:val="0"/>
                <w:sz w:val="24"/>
              </w:rPr>
              <w:t>附图4：</w:t>
            </w:r>
            <w:r>
              <w:rPr>
                <w:rFonts w:hint="eastAsia" w:cs="Arial"/>
                <w:color w:val="000000"/>
                <w:sz w:val="24"/>
              </w:rPr>
              <w:t>建设项目平面布置图</w:t>
            </w:r>
          </w:p>
        </w:tc>
      </w:tr>
      <w:tr w14:paraId="1A89CC13">
        <w:tblPrEx>
          <w:tblCellMar>
            <w:top w:w="0" w:type="dxa"/>
            <w:left w:w="108" w:type="dxa"/>
            <w:bottom w:w="0" w:type="dxa"/>
            <w:right w:w="108" w:type="dxa"/>
          </w:tblCellMar>
        </w:tblPrEx>
        <w:trPr>
          <w:trHeight w:val="680" w:hRule="atLeast"/>
        </w:trPr>
        <w:tc>
          <w:tcPr>
            <w:tcW w:w="4473" w:type="dxa"/>
            <w:noWrap w:val="0"/>
            <w:vAlign w:val="top"/>
          </w:tcPr>
          <w:p w14:paraId="2E6BAF8E">
            <w:pPr>
              <w:adjustRightInd w:val="0"/>
              <w:snapToGrid w:val="0"/>
              <w:jc w:val="left"/>
              <w:rPr>
                <w:rFonts w:hint="eastAsia"/>
                <w:b/>
                <w:bCs/>
                <w:color w:val="000000"/>
                <w:sz w:val="24"/>
              </w:rPr>
            </w:pPr>
            <w:r>
              <w:rPr>
                <w:rFonts w:hint="eastAsia"/>
                <w:color w:val="000000"/>
                <w:kern w:val="0"/>
                <w:sz w:val="24"/>
              </w:rPr>
              <w:t>附图5：建设项目分区防渗图</w:t>
            </w:r>
          </w:p>
        </w:tc>
        <w:tc>
          <w:tcPr>
            <w:tcW w:w="4473" w:type="dxa"/>
            <w:noWrap w:val="0"/>
            <w:vAlign w:val="top"/>
          </w:tcPr>
          <w:p w14:paraId="41C0CBBC">
            <w:pPr>
              <w:adjustRightInd w:val="0"/>
              <w:snapToGrid w:val="0"/>
              <w:jc w:val="left"/>
              <w:rPr>
                <w:b/>
                <w:bCs/>
                <w:color w:val="000000"/>
                <w:sz w:val="24"/>
              </w:rPr>
            </w:pPr>
            <w:r>
              <w:rPr>
                <w:rFonts w:hint="eastAsia"/>
                <w:color w:val="000000"/>
                <w:kern w:val="0"/>
                <w:sz w:val="24"/>
              </w:rPr>
              <w:t>附图6：建设项目排放口纵面图</w:t>
            </w:r>
          </w:p>
        </w:tc>
      </w:tr>
      <w:tr w14:paraId="72F98486">
        <w:tblPrEx>
          <w:tblCellMar>
            <w:top w:w="0" w:type="dxa"/>
            <w:left w:w="108" w:type="dxa"/>
            <w:bottom w:w="0" w:type="dxa"/>
            <w:right w:w="108" w:type="dxa"/>
          </w:tblCellMar>
        </w:tblPrEx>
        <w:trPr>
          <w:trHeight w:val="680" w:hRule="atLeast"/>
        </w:trPr>
        <w:tc>
          <w:tcPr>
            <w:tcW w:w="4473" w:type="dxa"/>
            <w:noWrap w:val="0"/>
            <w:vAlign w:val="top"/>
          </w:tcPr>
          <w:p w14:paraId="6BFD49DD">
            <w:pPr>
              <w:adjustRightInd w:val="0"/>
              <w:snapToGrid w:val="0"/>
              <w:jc w:val="left"/>
              <w:rPr>
                <w:rFonts w:hint="eastAsia"/>
                <w:b/>
                <w:bCs/>
                <w:color w:val="000000"/>
                <w:sz w:val="24"/>
              </w:rPr>
            </w:pPr>
            <w:r>
              <w:rPr>
                <w:rFonts w:hint="eastAsia"/>
                <w:color w:val="000000"/>
                <w:kern w:val="0"/>
                <w:sz w:val="24"/>
              </w:rPr>
              <w:t>附图</w:t>
            </w:r>
            <w:r>
              <w:rPr>
                <w:rFonts w:hint="eastAsia"/>
                <w:color w:val="000000"/>
                <w:kern w:val="0"/>
                <w:sz w:val="24"/>
                <w:lang w:val="en-US" w:eastAsia="zh-CN"/>
              </w:rPr>
              <w:t>7</w:t>
            </w:r>
            <w:r>
              <w:rPr>
                <w:rFonts w:hint="eastAsia"/>
                <w:color w:val="000000"/>
                <w:kern w:val="0"/>
                <w:sz w:val="24"/>
              </w:rPr>
              <w:t>：金华市环境质量功能区划分图</w:t>
            </w:r>
          </w:p>
        </w:tc>
        <w:tc>
          <w:tcPr>
            <w:tcW w:w="4473" w:type="dxa"/>
            <w:noWrap w:val="0"/>
            <w:vAlign w:val="top"/>
          </w:tcPr>
          <w:p w14:paraId="2A783B83">
            <w:pPr>
              <w:adjustRightInd w:val="0"/>
              <w:snapToGrid w:val="0"/>
              <w:jc w:val="left"/>
              <w:rPr>
                <w:b/>
                <w:bCs/>
                <w:color w:val="000000"/>
                <w:sz w:val="24"/>
              </w:rPr>
            </w:pPr>
            <w:r>
              <w:rPr>
                <w:rFonts w:hint="eastAsia"/>
                <w:color w:val="000000"/>
                <w:kern w:val="0"/>
                <w:sz w:val="24"/>
              </w:rPr>
              <w:t>附图</w:t>
            </w:r>
            <w:r>
              <w:rPr>
                <w:rFonts w:hint="eastAsia"/>
                <w:color w:val="000000"/>
                <w:kern w:val="0"/>
                <w:sz w:val="24"/>
                <w:lang w:val="en-US" w:eastAsia="zh-CN"/>
              </w:rPr>
              <w:t>8</w:t>
            </w:r>
            <w:r>
              <w:rPr>
                <w:rFonts w:hint="eastAsia"/>
                <w:color w:val="000000"/>
                <w:kern w:val="0"/>
                <w:sz w:val="24"/>
              </w:rPr>
              <w:t>：水环境功能区划图</w:t>
            </w:r>
          </w:p>
        </w:tc>
      </w:tr>
      <w:tr w14:paraId="6FC8816C">
        <w:tblPrEx>
          <w:tblCellMar>
            <w:top w:w="0" w:type="dxa"/>
            <w:left w:w="108" w:type="dxa"/>
            <w:bottom w:w="0" w:type="dxa"/>
            <w:right w:w="108" w:type="dxa"/>
          </w:tblCellMar>
        </w:tblPrEx>
        <w:trPr>
          <w:trHeight w:val="680" w:hRule="atLeast"/>
        </w:trPr>
        <w:tc>
          <w:tcPr>
            <w:tcW w:w="4473" w:type="dxa"/>
            <w:noWrap w:val="0"/>
            <w:vAlign w:val="top"/>
          </w:tcPr>
          <w:p w14:paraId="14CD45C3">
            <w:pPr>
              <w:adjustRightInd w:val="0"/>
              <w:snapToGrid w:val="0"/>
              <w:jc w:val="left"/>
              <w:rPr>
                <w:rFonts w:hint="eastAsia"/>
                <w:b/>
                <w:bCs/>
                <w:color w:val="000000"/>
                <w:sz w:val="24"/>
              </w:rPr>
            </w:pPr>
            <w:r>
              <w:rPr>
                <w:rFonts w:hint="eastAsia"/>
                <w:color w:val="000000"/>
                <w:kern w:val="0"/>
                <w:sz w:val="24"/>
              </w:rPr>
              <w:t>附图</w:t>
            </w:r>
            <w:r>
              <w:rPr>
                <w:rFonts w:hint="eastAsia"/>
                <w:color w:val="000000"/>
                <w:kern w:val="0"/>
                <w:sz w:val="24"/>
                <w:lang w:val="en-US" w:eastAsia="zh-CN"/>
              </w:rPr>
              <w:t>9</w:t>
            </w:r>
            <w:r>
              <w:rPr>
                <w:rFonts w:hint="eastAsia"/>
                <w:color w:val="000000"/>
                <w:kern w:val="0"/>
                <w:sz w:val="24"/>
              </w:rPr>
              <w:t>：金华市生态环境分区管控动态更新方案图集</w:t>
            </w:r>
          </w:p>
        </w:tc>
        <w:tc>
          <w:tcPr>
            <w:tcW w:w="4473" w:type="dxa"/>
            <w:noWrap w:val="0"/>
            <w:vAlign w:val="top"/>
          </w:tcPr>
          <w:p w14:paraId="0B9723AB">
            <w:pPr>
              <w:adjustRightInd w:val="0"/>
              <w:snapToGrid w:val="0"/>
              <w:jc w:val="left"/>
              <w:rPr>
                <w:b/>
                <w:bCs/>
                <w:color w:val="000000"/>
                <w:sz w:val="24"/>
              </w:rPr>
            </w:pPr>
            <w:r>
              <w:rPr>
                <w:rFonts w:hint="eastAsia"/>
                <w:color w:val="000000"/>
                <w:kern w:val="0"/>
                <w:sz w:val="24"/>
              </w:rPr>
              <w:t>附图</w:t>
            </w:r>
            <w:r>
              <w:rPr>
                <w:rFonts w:hint="eastAsia"/>
                <w:color w:val="000000"/>
                <w:kern w:val="0"/>
                <w:sz w:val="24"/>
                <w:lang w:val="en-US" w:eastAsia="zh-CN"/>
              </w:rPr>
              <w:t>10</w:t>
            </w:r>
            <w:r>
              <w:rPr>
                <w:rFonts w:hint="eastAsia"/>
                <w:color w:val="000000"/>
                <w:kern w:val="0"/>
                <w:sz w:val="24"/>
              </w:rPr>
              <w:t>：本项目与“三区三线”位置关系图</w:t>
            </w:r>
          </w:p>
        </w:tc>
      </w:tr>
      <w:tr w14:paraId="4C639137">
        <w:tblPrEx>
          <w:tblCellMar>
            <w:top w:w="0" w:type="dxa"/>
            <w:left w:w="108" w:type="dxa"/>
            <w:bottom w:w="0" w:type="dxa"/>
            <w:right w:w="108" w:type="dxa"/>
          </w:tblCellMar>
        </w:tblPrEx>
        <w:trPr>
          <w:trHeight w:val="680" w:hRule="atLeast"/>
        </w:trPr>
        <w:tc>
          <w:tcPr>
            <w:tcW w:w="4473" w:type="dxa"/>
            <w:noWrap w:val="0"/>
            <w:vAlign w:val="top"/>
          </w:tcPr>
          <w:p w14:paraId="17BAE258">
            <w:pPr>
              <w:adjustRightInd w:val="0"/>
              <w:snapToGrid w:val="0"/>
              <w:jc w:val="left"/>
              <w:rPr>
                <w:rFonts w:hint="eastAsia"/>
                <w:color w:val="000000"/>
                <w:kern w:val="0"/>
                <w:sz w:val="24"/>
              </w:rPr>
            </w:pPr>
            <w:r>
              <w:rPr>
                <w:rFonts w:hint="eastAsia"/>
                <w:color w:val="000000"/>
                <w:kern w:val="0"/>
                <w:sz w:val="24"/>
              </w:rPr>
              <w:t>附图1</w:t>
            </w:r>
            <w:r>
              <w:rPr>
                <w:rFonts w:hint="eastAsia"/>
                <w:color w:val="000000"/>
                <w:kern w:val="0"/>
                <w:sz w:val="24"/>
                <w:lang w:val="en-US" w:eastAsia="zh-CN"/>
              </w:rPr>
              <w:t>1</w:t>
            </w:r>
            <w:r>
              <w:rPr>
                <w:rFonts w:hint="eastAsia"/>
                <w:color w:val="000000"/>
                <w:kern w:val="0"/>
                <w:sz w:val="24"/>
              </w:rPr>
              <w:t>：兰溪市城市总体规划图</w:t>
            </w:r>
          </w:p>
        </w:tc>
        <w:tc>
          <w:tcPr>
            <w:tcW w:w="4473" w:type="dxa"/>
            <w:noWrap w:val="0"/>
            <w:vAlign w:val="top"/>
          </w:tcPr>
          <w:p w14:paraId="55D1E0CD">
            <w:pPr>
              <w:adjustRightInd w:val="0"/>
              <w:snapToGrid w:val="0"/>
              <w:jc w:val="left"/>
              <w:rPr>
                <w:rFonts w:hint="eastAsia"/>
                <w:color w:val="000000"/>
                <w:kern w:val="0"/>
                <w:sz w:val="24"/>
              </w:rPr>
            </w:pPr>
            <w:r>
              <w:rPr>
                <w:rFonts w:hint="eastAsia"/>
                <w:color w:val="000000"/>
                <w:kern w:val="0"/>
                <w:sz w:val="24"/>
              </w:rPr>
              <w:t>附图1</w:t>
            </w:r>
            <w:r>
              <w:rPr>
                <w:rFonts w:hint="eastAsia"/>
                <w:color w:val="000000"/>
                <w:kern w:val="0"/>
                <w:sz w:val="24"/>
                <w:lang w:val="en-US" w:eastAsia="zh-CN"/>
              </w:rPr>
              <w:t>2</w:t>
            </w:r>
            <w:r>
              <w:rPr>
                <w:rFonts w:hint="eastAsia"/>
                <w:color w:val="000000"/>
                <w:kern w:val="0"/>
                <w:sz w:val="24"/>
              </w:rPr>
              <w:t>：生态影响评价范围</w:t>
            </w:r>
          </w:p>
        </w:tc>
      </w:tr>
      <w:tr w14:paraId="05871AAA">
        <w:tblPrEx>
          <w:tblCellMar>
            <w:top w:w="0" w:type="dxa"/>
            <w:left w:w="108" w:type="dxa"/>
            <w:bottom w:w="0" w:type="dxa"/>
            <w:right w:w="108" w:type="dxa"/>
          </w:tblCellMar>
        </w:tblPrEx>
        <w:trPr>
          <w:trHeight w:val="680" w:hRule="atLeast"/>
        </w:trPr>
        <w:tc>
          <w:tcPr>
            <w:tcW w:w="4473" w:type="dxa"/>
            <w:noWrap w:val="0"/>
            <w:vAlign w:val="top"/>
          </w:tcPr>
          <w:p w14:paraId="7D7C1CF7">
            <w:pPr>
              <w:adjustRightInd w:val="0"/>
              <w:snapToGrid w:val="0"/>
              <w:jc w:val="left"/>
              <w:rPr>
                <w:rFonts w:hint="eastAsia"/>
                <w:color w:val="000000"/>
                <w:kern w:val="0"/>
                <w:sz w:val="24"/>
              </w:rPr>
            </w:pPr>
            <w:r>
              <w:rPr>
                <w:rFonts w:hint="eastAsia"/>
                <w:color w:val="000000"/>
                <w:kern w:val="0"/>
                <w:sz w:val="24"/>
              </w:rPr>
              <w:t>附图1</w:t>
            </w:r>
            <w:r>
              <w:rPr>
                <w:rFonts w:hint="eastAsia"/>
                <w:color w:val="000000"/>
                <w:kern w:val="0"/>
                <w:sz w:val="24"/>
                <w:lang w:val="en-US" w:eastAsia="zh-CN"/>
              </w:rPr>
              <w:t>3</w:t>
            </w:r>
            <w:r>
              <w:rPr>
                <w:rFonts w:hint="eastAsia"/>
                <w:color w:val="000000"/>
                <w:kern w:val="0"/>
                <w:sz w:val="24"/>
              </w:rPr>
              <w:t>：生态评价范围土地利用现状图</w:t>
            </w:r>
          </w:p>
        </w:tc>
        <w:tc>
          <w:tcPr>
            <w:tcW w:w="4473" w:type="dxa"/>
            <w:noWrap w:val="0"/>
            <w:vAlign w:val="top"/>
          </w:tcPr>
          <w:p w14:paraId="18C49CE2">
            <w:pPr>
              <w:adjustRightInd w:val="0"/>
              <w:snapToGrid w:val="0"/>
              <w:jc w:val="left"/>
              <w:rPr>
                <w:rFonts w:hint="eastAsia"/>
                <w:color w:val="000000"/>
                <w:kern w:val="0"/>
                <w:sz w:val="24"/>
              </w:rPr>
            </w:pPr>
            <w:r>
              <w:rPr>
                <w:rFonts w:hint="eastAsia"/>
                <w:color w:val="000000"/>
                <w:kern w:val="0"/>
                <w:sz w:val="24"/>
              </w:rPr>
              <w:t>附图1</w:t>
            </w:r>
            <w:r>
              <w:rPr>
                <w:rFonts w:hint="eastAsia"/>
                <w:color w:val="000000"/>
                <w:kern w:val="0"/>
                <w:sz w:val="24"/>
                <w:lang w:val="en-US" w:eastAsia="zh-CN"/>
              </w:rPr>
              <w:t>4</w:t>
            </w:r>
            <w:r>
              <w:rPr>
                <w:rFonts w:hint="eastAsia"/>
                <w:color w:val="000000"/>
                <w:kern w:val="0"/>
                <w:sz w:val="24"/>
              </w:rPr>
              <w:t>：生态评价范围植被类型图</w:t>
            </w:r>
          </w:p>
        </w:tc>
      </w:tr>
      <w:tr w14:paraId="07A4E803">
        <w:tblPrEx>
          <w:tblCellMar>
            <w:top w:w="0" w:type="dxa"/>
            <w:left w:w="108" w:type="dxa"/>
            <w:bottom w:w="0" w:type="dxa"/>
            <w:right w:w="108" w:type="dxa"/>
          </w:tblCellMar>
        </w:tblPrEx>
        <w:trPr>
          <w:trHeight w:val="680" w:hRule="atLeast"/>
        </w:trPr>
        <w:tc>
          <w:tcPr>
            <w:tcW w:w="8946" w:type="dxa"/>
            <w:gridSpan w:val="2"/>
            <w:noWrap w:val="0"/>
            <w:vAlign w:val="center"/>
          </w:tcPr>
          <w:p w14:paraId="3242EDED">
            <w:pPr>
              <w:adjustRightInd w:val="0"/>
              <w:snapToGrid w:val="0"/>
              <w:jc w:val="left"/>
              <w:rPr>
                <w:color w:val="000000"/>
                <w:kern w:val="0"/>
                <w:sz w:val="24"/>
              </w:rPr>
            </w:pPr>
            <w:r>
              <w:rPr>
                <w:rFonts w:hint="eastAsia"/>
                <w:b/>
                <w:bCs/>
                <w:color w:val="000000"/>
                <w:kern w:val="0"/>
                <w:sz w:val="28"/>
                <w:szCs w:val="28"/>
              </w:rPr>
              <w:t>附</w:t>
            </w:r>
            <w:r>
              <w:rPr>
                <w:b/>
                <w:bCs/>
                <w:color w:val="000000"/>
                <w:kern w:val="0"/>
                <w:sz w:val="28"/>
                <w:szCs w:val="28"/>
              </w:rPr>
              <w:t xml:space="preserve"> </w:t>
            </w:r>
            <w:r>
              <w:rPr>
                <w:rFonts w:hint="eastAsia"/>
                <w:b/>
                <w:bCs/>
                <w:color w:val="000000"/>
                <w:kern w:val="0"/>
                <w:sz w:val="28"/>
                <w:szCs w:val="28"/>
              </w:rPr>
              <w:t>件</w:t>
            </w:r>
          </w:p>
        </w:tc>
      </w:tr>
      <w:tr w14:paraId="7F3CC9FC">
        <w:tblPrEx>
          <w:tblCellMar>
            <w:top w:w="0" w:type="dxa"/>
            <w:left w:w="108" w:type="dxa"/>
            <w:bottom w:w="0" w:type="dxa"/>
            <w:right w:w="108" w:type="dxa"/>
          </w:tblCellMar>
        </w:tblPrEx>
        <w:trPr>
          <w:trHeight w:val="680" w:hRule="atLeast"/>
        </w:trPr>
        <w:tc>
          <w:tcPr>
            <w:tcW w:w="4473" w:type="dxa"/>
            <w:noWrap w:val="0"/>
            <w:vAlign w:val="top"/>
          </w:tcPr>
          <w:p w14:paraId="06B6F04C">
            <w:pPr>
              <w:adjustRightInd w:val="0"/>
              <w:snapToGrid w:val="0"/>
              <w:jc w:val="left"/>
              <w:rPr>
                <w:rFonts w:hint="eastAsia"/>
                <w:b/>
                <w:bCs/>
                <w:color w:val="000000"/>
                <w:sz w:val="24"/>
              </w:rPr>
            </w:pPr>
            <w:r>
              <w:rPr>
                <w:rFonts w:hint="eastAsia"/>
                <w:color w:val="000000"/>
                <w:kern w:val="0"/>
                <w:sz w:val="24"/>
              </w:rPr>
              <w:t>附件1：项目基本信息表</w:t>
            </w:r>
          </w:p>
        </w:tc>
        <w:tc>
          <w:tcPr>
            <w:tcW w:w="4473" w:type="dxa"/>
            <w:noWrap w:val="0"/>
            <w:vAlign w:val="top"/>
          </w:tcPr>
          <w:p w14:paraId="4D97B9DD">
            <w:pPr>
              <w:adjustRightInd w:val="0"/>
              <w:snapToGrid w:val="0"/>
              <w:jc w:val="left"/>
              <w:rPr>
                <w:b/>
                <w:bCs/>
                <w:color w:val="000000"/>
                <w:sz w:val="24"/>
              </w:rPr>
            </w:pPr>
            <w:r>
              <w:rPr>
                <w:rFonts w:hint="eastAsia"/>
                <w:color w:val="000000"/>
                <w:kern w:val="0"/>
                <w:sz w:val="24"/>
              </w:rPr>
              <w:t>附件2：建设单位营业执照及法人身份证</w:t>
            </w:r>
          </w:p>
        </w:tc>
      </w:tr>
      <w:tr w14:paraId="7EBC6399">
        <w:tblPrEx>
          <w:tblCellMar>
            <w:top w:w="0" w:type="dxa"/>
            <w:left w:w="108" w:type="dxa"/>
            <w:bottom w:w="0" w:type="dxa"/>
            <w:right w:w="108" w:type="dxa"/>
          </w:tblCellMar>
        </w:tblPrEx>
        <w:trPr>
          <w:trHeight w:val="680" w:hRule="atLeast"/>
        </w:trPr>
        <w:tc>
          <w:tcPr>
            <w:tcW w:w="4473" w:type="dxa"/>
            <w:noWrap w:val="0"/>
            <w:vAlign w:val="top"/>
          </w:tcPr>
          <w:p w14:paraId="7DF3CE5B">
            <w:pPr>
              <w:adjustRightInd w:val="0"/>
              <w:snapToGrid w:val="0"/>
              <w:jc w:val="left"/>
              <w:rPr>
                <w:rFonts w:hint="eastAsia"/>
                <w:b/>
                <w:bCs/>
                <w:color w:val="000000"/>
                <w:sz w:val="24"/>
              </w:rPr>
            </w:pPr>
            <w:r>
              <w:rPr>
                <w:rFonts w:hint="eastAsia"/>
                <w:color w:val="000000"/>
                <w:kern w:val="0"/>
                <w:sz w:val="24"/>
              </w:rPr>
              <w:t>附件3：建设项目选址和用地预审意见</w:t>
            </w:r>
          </w:p>
        </w:tc>
        <w:tc>
          <w:tcPr>
            <w:tcW w:w="4473" w:type="dxa"/>
            <w:noWrap w:val="0"/>
            <w:vAlign w:val="top"/>
          </w:tcPr>
          <w:p w14:paraId="1827D378">
            <w:pPr>
              <w:adjustRightInd w:val="0"/>
              <w:snapToGrid w:val="0"/>
              <w:jc w:val="left"/>
              <w:rPr>
                <w:rFonts w:hint="eastAsia"/>
                <w:color w:val="000000"/>
                <w:kern w:val="0"/>
                <w:sz w:val="24"/>
              </w:rPr>
            </w:pPr>
            <w:r>
              <w:rPr>
                <w:rFonts w:hint="eastAsia"/>
                <w:color w:val="000000"/>
                <w:kern w:val="0"/>
                <w:sz w:val="24"/>
              </w:rPr>
              <w:t>附件4：关于兰溪市工业污水处理厂工程项目核准的批复</w:t>
            </w:r>
          </w:p>
        </w:tc>
      </w:tr>
      <w:tr w14:paraId="505D528A">
        <w:tblPrEx>
          <w:tblCellMar>
            <w:top w:w="0" w:type="dxa"/>
            <w:left w:w="108" w:type="dxa"/>
            <w:bottom w:w="0" w:type="dxa"/>
            <w:right w:w="108" w:type="dxa"/>
          </w:tblCellMar>
        </w:tblPrEx>
        <w:trPr>
          <w:trHeight w:val="680" w:hRule="atLeast"/>
        </w:trPr>
        <w:tc>
          <w:tcPr>
            <w:tcW w:w="4473" w:type="dxa"/>
            <w:noWrap w:val="0"/>
            <w:vAlign w:val="top"/>
          </w:tcPr>
          <w:p w14:paraId="336481D1">
            <w:pPr>
              <w:adjustRightInd w:val="0"/>
              <w:snapToGrid w:val="0"/>
              <w:jc w:val="left"/>
              <w:rPr>
                <w:rFonts w:hint="eastAsia"/>
                <w:b/>
                <w:bCs/>
                <w:color w:val="000000"/>
                <w:sz w:val="24"/>
              </w:rPr>
            </w:pPr>
            <w:r>
              <w:rPr>
                <w:rFonts w:hint="eastAsia"/>
                <w:color w:val="000000"/>
                <w:kern w:val="0"/>
                <w:sz w:val="24"/>
              </w:rPr>
              <w:t>附件5：生态保护红线内有限人为活动论证信息表</w:t>
            </w:r>
          </w:p>
        </w:tc>
        <w:tc>
          <w:tcPr>
            <w:tcW w:w="4473" w:type="dxa"/>
            <w:noWrap w:val="0"/>
            <w:vAlign w:val="top"/>
          </w:tcPr>
          <w:p w14:paraId="33DA781B">
            <w:pPr>
              <w:adjustRightInd w:val="0"/>
              <w:snapToGrid w:val="0"/>
              <w:jc w:val="left"/>
              <w:rPr>
                <w:b/>
                <w:bCs/>
                <w:color w:val="000000"/>
                <w:sz w:val="24"/>
              </w:rPr>
            </w:pPr>
            <w:r>
              <w:rPr>
                <w:rFonts w:hint="eastAsia"/>
                <w:color w:val="000000"/>
                <w:sz w:val="24"/>
              </w:rPr>
              <w:t>附件</w:t>
            </w:r>
            <w:r>
              <w:rPr>
                <w:rFonts w:hint="eastAsia"/>
                <w:color w:val="000000"/>
                <w:sz w:val="24"/>
                <w:lang w:val="en-US" w:eastAsia="zh-CN"/>
              </w:rPr>
              <w:t>6</w:t>
            </w:r>
            <w:r>
              <w:rPr>
                <w:rFonts w:hint="eastAsia"/>
                <w:color w:val="000000"/>
                <w:sz w:val="24"/>
              </w:rPr>
              <w:t>：浙江省林业局关于同意兰溪市工业污水处理（尾水排放管）工程穿越兰溪兰江省级湿地公园意见的函（浙林审字〔2024〕60号）</w:t>
            </w:r>
          </w:p>
        </w:tc>
      </w:tr>
      <w:tr w14:paraId="532ED1D7">
        <w:tblPrEx>
          <w:tblCellMar>
            <w:top w:w="0" w:type="dxa"/>
            <w:left w:w="108" w:type="dxa"/>
            <w:bottom w:w="0" w:type="dxa"/>
            <w:right w:w="108" w:type="dxa"/>
          </w:tblCellMar>
        </w:tblPrEx>
        <w:trPr>
          <w:trHeight w:val="680" w:hRule="atLeast"/>
        </w:trPr>
        <w:tc>
          <w:tcPr>
            <w:tcW w:w="4473" w:type="dxa"/>
            <w:noWrap w:val="0"/>
            <w:vAlign w:val="top"/>
          </w:tcPr>
          <w:p w14:paraId="294E844F">
            <w:pPr>
              <w:adjustRightInd w:val="0"/>
              <w:snapToGrid w:val="0"/>
              <w:jc w:val="left"/>
              <w:rPr>
                <w:rFonts w:hint="eastAsia"/>
                <w:color w:val="000000"/>
                <w:kern w:val="0"/>
                <w:sz w:val="24"/>
              </w:rPr>
            </w:pPr>
            <w:r>
              <w:rPr>
                <w:rFonts w:hint="eastAsia"/>
                <w:color w:val="000000"/>
                <w:sz w:val="24"/>
              </w:rPr>
              <w:t>附件</w:t>
            </w:r>
            <w:r>
              <w:rPr>
                <w:rFonts w:hint="eastAsia"/>
                <w:color w:val="000000"/>
                <w:sz w:val="24"/>
                <w:lang w:val="en-US" w:eastAsia="zh-CN"/>
              </w:rPr>
              <w:t>7</w:t>
            </w:r>
            <w:r>
              <w:rPr>
                <w:rFonts w:hint="eastAsia"/>
                <w:color w:val="000000"/>
                <w:sz w:val="24"/>
              </w:rPr>
              <w:t>：关于兰溪市工业污水处理厂尾水排放管道涉及生态保护红线的意见</w:t>
            </w:r>
          </w:p>
        </w:tc>
        <w:tc>
          <w:tcPr>
            <w:tcW w:w="4473" w:type="dxa"/>
            <w:noWrap w:val="0"/>
            <w:vAlign w:val="top"/>
          </w:tcPr>
          <w:p w14:paraId="02259278">
            <w:pPr>
              <w:adjustRightInd w:val="0"/>
              <w:snapToGrid w:val="0"/>
              <w:jc w:val="left"/>
              <w:rPr>
                <w:rFonts w:hint="eastAsia"/>
                <w:color w:val="000000"/>
                <w:sz w:val="24"/>
              </w:rPr>
            </w:pPr>
            <w:r>
              <w:rPr>
                <w:rFonts w:hint="eastAsia"/>
                <w:color w:val="000000"/>
                <w:sz w:val="24"/>
              </w:rPr>
              <w:t>附件</w:t>
            </w:r>
            <w:r>
              <w:rPr>
                <w:rFonts w:hint="eastAsia"/>
                <w:color w:val="000000"/>
                <w:sz w:val="24"/>
                <w:lang w:val="en-US" w:eastAsia="zh-CN"/>
              </w:rPr>
              <w:t>8</w:t>
            </w:r>
            <w:r>
              <w:rPr>
                <w:rFonts w:hint="eastAsia"/>
                <w:color w:val="000000"/>
                <w:sz w:val="24"/>
              </w:rPr>
              <w:t>：兰溪市工业污水处理厂工程入河排污口设置论证报告专家评审会专家组意见</w:t>
            </w:r>
          </w:p>
        </w:tc>
      </w:tr>
      <w:tr w14:paraId="15B9A7B8">
        <w:tblPrEx>
          <w:tblCellMar>
            <w:top w:w="0" w:type="dxa"/>
            <w:left w:w="108" w:type="dxa"/>
            <w:bottom w:w="0" w:type="dxa"/>
            <w:right w:w="108" w:type="dxa"/>
          </w:tblCellMar>
        </w:tblPrEx>
        <w:trPr>
          <w:trHeight w:val="680" w:hRule="atLeast"/>
        </w:trPr>
        <w:tc>
          <w:tcPr>
            <w:tcW w:w="4473" w:type="dxa"/>
            <w:noWrap w:val="0"/>
            <w:vAlign w:val="top"/>
          </w:tcPr>
          <w:p w14:paraId="05AD8F1A">
            <w:pPr>
              <w:adjustRightInd w:val="0"/>
              <w:snapToGrid w:val="0"/>
              <w:jc w:val="left"/>
              <w:rPr>
                <w:rFonts w:hint="eastAsia"/>
                <w:color w:val="000000"/>
                <w:kern w:val="0"/>
                <w:sz w:val="24"/>
              </w:rPr>
            </w:pPr>
            <w:r>
              <w:rPr>
                <w:rFonts w:hint="eastAsia"/>
                <w:color w:val="000000"/>
                <w:sz w:val="24"/>
              </w:rPr>
              <w:t>附件</w:t>
            </w:r>
            <w:r>
              <w:rPr>
                <w:rFonts w:hint="eastAsia"/>
                <w:color w:val="000000"/>
                <w:sz w:val="24"/>
                <w:lang w:val="en-US" w:eastAsia="zh-CN"/>
              </w:rPr>
              <w:t>9</w:t>
            </w:r>
            <w:r>
              <w:rPr>
                <w:rFonts w:hint="eastAsia"/>
                <w:color w:val="000000"/>
                <w:sz w:val="24"/>
              </w:rPr>
              <w:t>：兰溪市工业污水处理厂涉及生态保护红线不可避让性论证会专家组评审意见</w:t>
            </w:r>
          </w:p>
        </w:tc>
        <w:tc>
          <w:tcPr>
            <w:tcW w:w="4473" w:type="dxa"/>
            <w:noWrap w:val="0"/>
            <w:vAlign w:val="top"/>
          </w:tcPr>
          <w:p w14:paraId="4F438C46">
            <w:pPr>
              <w:adjustRightInd w:val="0"/>
              <w:snapToGrid w:val="0"/>
              <w:jc w:val="left"/>
              <w:rPr>
                <w:rFonts w:hint="eastAsia"/>
                <w:color w:val="000000"/>
                <w:sz w:val="24"/>
              </w:rPr>
            </w:pPr>
            <w:r>
              <w:rPr>
                <w:rFonts w:hint="eastAsia"/>
                <w:color w:val="000000"/>
                <w:kern w:val="0"/>
                <w:sz w:val="24"/>
              </w:rPr>
              <w:t>附件</w:t>
            </w:r>
            <w:r>
              <w:rPr>
                <w:rFonts w:hint="eastAsia"/>
                <w:color w:val="000000"/>
                <w:kern w:val="0"/>
                <w:sz w:val="24"/>
                <w:lang w:val="en-US" w:eastAsia="zh-CN"/>
              </w:rPr>
              <w:t>10</w:t>
            </w:r>
            <w:r>
              <w:rPr>
                <w:rFonts w:hint="eastAsia"/>
                <w:color w:val="000000"/>
                <w:kern w:val="0"/>
                <w:sz w:val="24"/>
              </w:rPr>
              <w:t>：《兰溪市工业污水处理厂（尾水排放管）工程对兰溪兰江省级湿地公园生态影响评价报告》论证意见</w:t>
            </w:r>
          </w:p>
        </w:tc>
      </w:tr>
      <w:tr w14:paraId="3B6AA6D5">
        <w:tblPrEx>
          <w:tblCellMar>
            <w:top w:w="0" w:type="dxa"/>
            <w:left w:w="108" w:type="dxa"/>
            <w:bottom w:w="0" w:type="dxa"/>
            <w:right w:w="108" w:type="dxa"/>
          </w:tblCellMar>
        </w:tblPrEx>
        <w:trPr>
          <w:trHeight w:val="680" w:hRule="atLeast"/>
        </w:trPr>
        <w:tc>
          <w:tcPr>
            <w:tcW w:w="4473" w:type="dxa"/>
            <w:noWrap w:val="0"/>
            <w:vAlign w:val="top"/>
          </w:tcPr>
          <w:p w14:paraId="134EB065">
            <w:pPr>
              <w:adjustRightInd w:val="0"/>
              <w:snapToGrid w:val="0"/>
              <w:jc w:val="left"/>
              <w:rPr>
                <w:rFonts w:hint="eastAsia"/>
                <w:color w:val="000000"/>
                <w:kern w:val="0"/>
                <w:sz w:val="24"/>
              </w:rPr>
            </w:pPr>
            <w:r>
              <w:rPr>
                <w:rFonts w:hint="eastAsia"/>
                <w:color w:val="000000"/>
                <w:kern w:val="0"/>
                <w:sz w:val="24"/>
              </w:rPr>
              <w:t>附件</w:t>
            </w:r>
            <w:r>
              <w:rPr>
                <w:rFonts w:hint="eastAsia"/>
                <w:color w:val="000000"/>
                <w:kern w:val="0"/>
                <w:sz w:val="24"/>
                <w:lang w:val="en-US" w:eastAsia="zh-CN"/>
              </w:rPr>
              <w:t>11</w:t>
            </w:r>
            <w:r>
              <w:rPr>
                <w:rFonts w:hint="eastAsia"/>
                <w:color w:val="000000"/>
                <w:kern w:val="0"/>
                <w:sz w:val="24"/>
              </w:rPr>
              <w:t>：启用胡大山污水应急处理设施的专题会议纪要及运维协议</w:t>
            </w:r>
          </w:p>
        </w:tc>
        <w:tc>
          <w:tcPr>
            <w:tcW w:w="4473" w:type="dxa"/>
            <w:noWrap w:val="0"/>
            <w:vAlign w:val="top"/>
          </w:tcPr>
          <w:p w14:paraId="1F78C99B">
            <w:pPr>
              <w:adjustRightInd w:val="0"/>
              <w:snapToGrid w:val="0"/>
              <w:jc w:val="left"/>
              <w:rPr>
                <w:rFonts w:hint="eastAsia"/>
                <w:color w:val="000000"/>
                <w:kern w:val="0"/>
                <w:sz w:val="24"/>
              </w:rPr>
            </w:pPr>
            <w:r>
              <w:rPr>
                <w:rFonts w:hint="eastAsia"/>
                <w:color w:val="000000"/>
                <w:kern w:val="0"/>
                <w:sz w:val="24"/>
              </w:rPr>
              <w:t>附件</w:t>
            </w:r>
            <w:r>
              <w:rPr>
                <w:rFonts w:hint="eastAsia"/>
                <w:color w:val="000000"/>
                <w:kern w:val="0"/>
                <w:sz w:val="24"/>
                <w:lang w:val="en-US" w:eastAsia="zh-CN"/>
              </w:rPr>
              <w:t>12</w:t>
            </w:r>
            <w:r>
              <w:rPr>
                <w:rFonts w:hint="eastAsia"/>
                <w:color w:val="000000"/>
                <w:kern w:val="0"/>
                <w:sz w:val="24"/>
              </w:rPr>
              <w:t>：检测报告（检测报告编号：华标检（2023）H第03454号、ZJCD2311083、ZJCD2407387）</w:t>
            </w:r>
          </w:p>
        </w:tc>
      </w:tr>
      <w:tr w14:paraId="29EA69A6">
        <w:tblPrEx>
          <w:tblCellMar>
            <w:top w:w="0" w:type="dxa"/>
            <w:left w:w="108" w:type="dxa"/>
            <w:bottom w:w="0" w:type="dxa"/>
            <w:right w:w="108" w:type="dxa"/>
          </w:tblCellMar>
        </w:tblPrEx>
        <w:trPr>
          <w:trHeight w:val="680" w:hRule="atLeast"/>
        </w:trPr>
        <w:tc>
          <w:tcPr>
            <w:tcW w:w="4473" w:type="dxa"/>
            <w:noWrap w:val="0"/>
            <w:vAlign w:val="top"/>
          </w:tcPr>
          <w:p w14:paraId="1C2B159F">
            <w:pPr>
              <w:adjustRightInd w:val="0"/>
              <w:snapToGrid w:val="0"/>
              <w:jc w:val="left"/>
              <w:rPr>
                <w:rFonts w:hint="eastAsia"/>
                <w:color w:val="000000"/>
                <w:kern w:val="0"/>
                <w:sz w:val="24"/>
              </w:rPr>
            </w:pPr>
            <w:r>
              <w:rPr>
                <w:rFonts w:hint="eastAsia"/>
                <w:color w:val="000000"/>
                <w:kern w:val="0"/>
                <w:sz w:val="24"/>
              </w:rPr>
              <w:t>附件</w:t>
            </w:r>
            <w:r>
              <w:rPr>
                <w:rFonts w:hint="eastAsia"/>
                <w:color w:val="000000"/>
                <w:kern w:val="0"/>
                <w:sz w:val="24"/>
                <w:lang w:val="en-US" w:eastAsia="zh-CN"/>
              </w:rPr>
              <w:t>13</w:t>
            </w:r>
            <w:r>
              <w:rPr>
                <w:rFonts w:hint="eastAsia"/>
                <w:color w:val="000000"/>
                <w:kern w:val="0"/>
                <w:sz w:val="24"/>
              </w:rPr>
              <w:t>：专家组评审意见及修改清单</w:t>
            </w:r>
          </w:p>
        </w:tc>
        <w:tc>
          <w:tcPr>
            <w:tcW w:w="4473" w:type="dxa"/>
            <w:noWrap w:val="0"/>
            <w:vAlign w:val="top"/>
          </w:tcPr>
          <w:p w14:paraId="66442BBC">
            <w:pPr>
              <w:adjustRightInd w:val="0"/>
              <w:snapToGrid w:val="0"/>
              <w:jc w:val="left"/>
              <w:rPr>
                <w:rFonts w:hint="default" w:eastAsia="宋体"/>
                <w:color w:val="000000"/>
                <w:kern w:val="0"/>
                <w:sz w:val="24"/>
                <w:lang w:val="en-US" w:eastAsia="zh-CN"/>
              </w:rPr>
            </w:pPr>
            <w:r>
              <w:rPr>
                <w:rFonts w:hint="eastAsia"/>
                <w:color w:val="000000"/>
                <w:kern w:val="0"/>
                <w:sz w:val="24"/>
              </w:rPr>
              <w:t>附件</w:t>
            </w:r>
            <w:r>
              <w:rPr>
                <w:rFonts w:hint="eastAsia"/>
                <w:color w:val="000000"/>
                <w:kern w:val="0"/>
                <w:sz w:val="24"/>
                <w:lang w:val="en-US" w:eastAsia="zh-CN"/>
              </w:rPr>
              <w:t>14</w:t>
            </w:r>
            <w:r>
              <w:rPr>
                <w:rFonts w:hint="eastAsia"/>
                <w:color w:val="000000"/>
                <w:kern w:val="0"/>
                <w:sz w:val="24"/>
              </w:rPr>
              <w:t>：专家</w:t>
            </w:r>
            <w:r>
              <w:rPr>
                <w:rFonts w:hint="eastAsia"/>
                <w:color w:val="000000"/>
                <w:kern w:val="0"/>
                <w:sz w:val="24"/>
                <w:lang w:val="en-US" w:eastAsia="zh-CN"/>
              </w:rPr>
              <w:t>复核意见</w:t>
            </w:r>
          </w:p>
        </w:tc>
      </w:tr>
      <w:tr w14:paraId="61C4D969">
        <w:tblPrEx>
          <w:tblCellMar>
            <w:top w:w="0" w:type="dxa"/>
            <w:left w:w="108" w:type="dxa"/>
            <w:bottom w:w="0" w:type="dxa"/>
            <w:right w:w="108" w:type="dxa"/>
          </w:tblCellMar>
        </w:tblPrEx>
        <w:trPr>
          <w:trHeight w:val="680" w:hRule="atLeast"/>
        </w:trPr>
        <w:tc>
          <w:tcPr>
            <w:tcW w:w="8946" w:type="dxa"/>
            <w:gridSpan w:val="2"/>
            <w:noWrap w:val="0"/>
            <w:vAlign w:val="center"/>
          </w:tcPr>
          <w:p w14:paraId="15B3227F">
            <w:pPr>
              <w:adjustRightInd w:val="0"/>
              <w:snapToGrid w:val="0"/>
              <w:jc w:val="left"/>
              <w:rPr>
                <w:b/>
                <w:bCs/>
                <w:color w:val="000000"/>
                <w:sz w:val="24"/>
              </w:rPr>
            </w:pPr>
            <w:r>
              <w:rPr>
                <w:rFonts w:hint="eastAsia"/>
                <w:b/>
                <w:bCs/>
                <w:color w:val="000000"/>
                <w:kern w:val="0"/>
                <w:sz w:val="28"/>
                <w:szCs w:val="28"/>
              </w:rPr>
              <w:t>附</w:t>
            </w:r>
            <w:r>
              <w:rPr>
                <w:b/>
                <w:bCs/>
                <w:color w:val="000000"/>
                <w:kern w:val="0"/>
                <w:sz w:val="28"/>
                <w:szCs w:val="28"/>
              </w:rPr>
              <w:t xml:space="preserve"> </w:t>
            </w:r>
            <w:r>
              <w:rPr>
                <w:rFonts w:hint="eastAsia"/>
                <w:b/>
                <w:bCs/>
                <w:color w:val="000000"/>
                <w:kern w:val="0"/>
                <w:sz w:val="28"/>
                <w:szCs w:val="28"/>
              </w:rPr>
              <w:t>表</w:t>
            </w:r>
          </w:p>
        </w:tc>
      </w:tr>
      <w:tr w14:paraId="6802583E">
        <w:tblPrEx>
          <w:tblCellMar>
            <w:top w:w="0" w:type="dxa"/>
            <w:left w:w="108" w:type="dxa"/>
            <w:bottom w:w="0" w:type="dxa"/>
            <w:right w:w="108" w:type="dxa"/>
          </w:tblCellMar>
        </w:tblPrEx>
        <w:trPr>
          <w:trHeight w:val="680" w:hRule="atLeast"/>
        </w:trPr>
        <w:tc>
          <w:tcPr>
            <w:tcW w:w="4473" w:type="dxa"/>
            <w:noWrap w:val="0"/>
            <w:vAlign w:val="top"/>
          </w:tcPr>
          <w:p w14:paraId="4848A2F8">
            <w:pPr>
              <w:widowControl/>
              <w:jc w:val="left"/>
              <w:rPr>
                <w:rFonts w:hint="eastAsia"/>
                <w:color w:val="000000"/>
                <w:kern w:val="0"/>
                <w:sz w:val="24"/>
              </w:rPr>
            </w:pPr>
            <w:r>
              <w:rPr>
                <w:rFonts w:hint="eastAsia"/>
                <w:color w:val="000000"/>
                <w:kern w:val="0"/>
                <w:sz w:val="24"/>
              </w:rPr>
              <w:t>建设项目环评审批基础信息表</w:t>
            </w:r>
          </w:p>
        </w:tc>
        <w:tc>
          <w:tcPr>
            <w:tcW w:w="4473" w:type="dxa"/>
            <w:noWrap w:val="0"/>
            <w:vAlign w:val="top"/>
          </w:tcPr>
          <w:p w14:paraId="25DB3FD8">
            <w:pPr>
              <w:adjustRightInd w:val="0"/>
              <w:snapToGrid w:val="0"/>
              <w:jc w:val="left"/>
              <w:rPr>
                <w:rFonts w:hint="eastAsia"/>
                <w:color w:val="000000"/>
                <w:kern w:val="0"/>
                <w:sz w:val="24"/>
              </w:rPr>
            </w:pPr>
          </w:p>
        </w:tc>
      </w:tr>
    </w:tbl>
    <w:p w14:paraId="2FCD04B7">
      <w:pPr>
        <w:pStyle w:val="16"/>
        <w:ind w:firstLine="0" w:firstLineChars="0"/>
        <w:rPr>
          <w:rFonts w:hint="eastAsia" w:cs="宋体"/>
          <w:color w:val="000000"/>
        </w:rPr>
        <w:sectPr>
          <w:headerReference r:id="rId13" w:type="default"/>
          <w:footerReference r:id="rId14" w:type="default"/>
          <w:pgSz w:w="11906" w:h="16838"/>
          <w:pgMar w:top="1588" w:right="1588" w:bottom="1588" w:left="1588" w:header="992" w:footer="1134" w:gutter="0"/>
          <w:pgNumType w:fmt="upperRoman" w:start="1"/>
          <w:cols w:space="720" w:num="1"/>
          <w:docGrid w:linePitch="312" w:charSpace="0"/>
        </w:sectPr>
      </w:pPr>
    </w:p>
    <w:p w14:paraId="760267CE">
      <w:pPr>
        <w:pStyle w:val="17"/>
        <w:ind w:left="0"/>
        <w:rPr>
          <w:rFonts w:hint="eastAsia"/>
          <w:color w:val="000000"/>
        </w:rPr>
      </w:pPr>
      <w:bookmarkStart w:id="16" w:name="_Toc17820"/>
      <w:bookmarkStart w:id="17" w:name="_Toc30422"/>
      <w:bookmarkStart w:id="18" w:name="_Toc535340370"/>
      <w:r>
        <w:rPr>
          <w:rFonts w:hint="eastAsia"/>
          <w:color w:val="000000"/>
        </w:rPr>
        <w:t>概述</w:t>
      </w:r>
      <w:bookmarkEnd w:id="16"/>
      <w:bookmarkEnd w:id="17"/>
      <w:bookmarkEnd w:id="18"/>
    </w:p>
    <w:p w14:paraId="624AC7E8">
      <w:pPr>
        <w:pStyle w:val="18"/>
        <w:rPr>
          <w:color w:val="000000"/>
        </w:rPr>
      </w:pPr>
      <w:bookmarkStart w:id="19" w:name="_Toc8918"/>
      <w:bookmarkStart w:id="20" w:name="_Toc525475136"/>
      <w:bookmarkStart w:id="21" w:name="_Toc14082"/>
      <w:bookmarkStart w:id="22" w:name="_Toc535340371"/>
      <w:bookmarkStart w:id="23" w:name="OLE_LINK27"/>
      <w:bookmarkStart w:id="24" w:name="OLE_LINK61"/>
      <w:bookmarkStart w:id="25" w:name="OLE_LINK77"/>
      <w:bookmarkStart w:id="26" w:name="OLE_LINK4"/>
      <w:bookmarkStart w:id="27" w:name="OLE_LINK28"/>
      <w:bookmarkStart w:id="28" w:name="OLE_LINK41"/>
      <w:bookmarkStart w:id="29" w:name="OLE_LINK6"/>
      <w:r>
        <w:rPr>
          <w:rFonts w:hint="eastAsia"/>
          <w:color w:val="000000"/>
        </w:rPr>
        <w:t>建设项目特点</w:t>
      </w:r>
      <w:bookmarkEnd w:id="19"/>
      <w:bookmarkEnd w:id="20"/>
      <w:bookmarkEnd w:id="21"/>
      <w:bookmarkEnd w:id="22"/>
    </w:p>
    <w:p w14:paraId="567706F0">
      <w:pPr>
        <w:pStyle w:val="19"/>
        <w:ind w:left="0"/>
        <w:rPr>
          <w:color w:val="000000"/>
        </w:rPr>
      </w:pPr>
      <w:bookmarkStart w:id="30" w:name="_Toc535340372"/>
      <w:r>
        <w:rPr>
          <w:rFonts w:hint="eastAsia"/>
          <w:color w:val="000000"/>
        </w:rPr>
        <w:t>建设项目由来及实施背景</w:t>
      </w:r>
      <w:bookmarkEnd w:id="30"/>
    </w:p>
    <w:p w14:paraId="670C0AE6">
      <w:pPr>
        <w:spacing w:line="360" w:lineRule="auto"/>
        <w:ind w:firstLine="480" w:firstLineChars="200"/>
        <w:rPr>
          <w:rFonts w:hint="eastAsia"/>
          <w:bCs/>
          <w:color w:val="000000"/>
          <w:sz w:val="24"/>
        </w:rPr>
      </w:pPr>
      <w:r>
        <w:rPr>
          <w:rFonts w:hint="eastAsia"/>
          <w:bCs/>
          <w:color w:val="000000"/>
          <w:sz w:val="24"/>
        </w:rPr>
        <w:t>近年来，随着兰溪市经济、社会的发展，城市建成区面积逐步扩大，人口逐渐增加，城市建设发展日新月异，在城市快速发展的过程中，城市污水量逐渐增大，随着兰溪经济开发区兰江工业区、兰溪市经济开发区化工园区A区和B区、兰溪市女埠街道工业功能区A区迅速发展，排入兰溪市污水处理厂的工业废水逐步增加，兰溪市污水处理厂已出现超负荷运行现象，已无法接纳工业园区产生的工业废水，若逢雨天，甚至有部分污水直接溢流排入兰江。对此，兰溪市人民政府于2</w:t>
      </w:r>
      <w:r>
        <w:rPr>
          <w:bCs/>
          <w:color w:val="000000"/>
          <w:sz w:val="24"/>
        </w:rPr>
        <w:t>023</w:t>
      </w:r>
      <w:r>
        <w:rPr>
          <w:rFonts w:hint="eastAsia"/>
          <w:bCs/>
          <w:color w:val="000000"/>
          <w:sz w:val="24"/>
        </w:rPr>
        <w:t>年6月启用了</w:t>
      </w:r>
      <w:r>
        <w:rPr>
          <w:rFonts w:hint="eastAsia"/>
          <w:color w:val="000000"/>
          <w:sz w:val="24"/>
        </w:rPr>
        <w:t>胡大山污水应急处理设施，将超出兰溪市污水处理厂负荷的污水进行应急处理后排入兰江</w:t>
      </w:r>
      <w:r>
        <w:rPr>
          <w:rFonts w:hint="eastAsia"/>
          <w:bCs/>
          <w:color w:val="000000"/>
          <w:sz w:val="24"/>
        </w:rPr>
        <w:t>。因此，新建兰溪市工业污水处理厂处理工业废水迫在眉睫，待项目建成后，将目前进入兰溪市污水处理厂约5万吨工业废水单独收集处理，既可以大大缓解兰溪市污水处理厂超</w:t>
      </w:r>
      <w:r>
        <w:rPr>
          <w:rFonts w:hint="eastAsia"/>
          <w:bCs/>
          <w:color w:val="000000"/>
          <w:sz w:val="24"/>
          <w:lang w:val="en-US" w:eastAsia="zh-CN"/>
        </w:rPr>
        <w:t>负荷</w:t>
      </w:r>
      <w:r>
        <w:rPr>
          <w:rFonts w:hint="eastAsia"/>
          <w:bCs/>
          <w:color w:val="000000"/>
          <w:sz w:val="24"/>
        </w:rPr>
        <w:t>运行的困境，解决溢流排放问题，也可以针对性地将工业废水和居民生活污水分类收集、分质处理，减小工业污水不稳定的水质对兰溪市污水处理厂冲击影响。</w:t>
      </w:r>
    </w:p>
    <w:p w14:paraId="5717C51F">
      <w:pPr>
        <w:spacing w:line="360" w:lineRule="auto"/>
        <w:ind w:firstLine="480" w:firstLineChars="200"/>
        <w:rPr>
          <w:rFonts w:hint="eastAsia"/>
          <w:bCs/>
          <w:color w:val="000000"/>
          <w:sz w:val="24"/>
        </w:rPr>
      </w:pPr>
      <w:r>
        <w:rPr>
          <w:rFonts w:hint="eastAsia"/>
          <w:bCs/>
          <w:color w:val="000000"/>
          <w:sz w:val="24"/>
        </w:rPr>
        <w:t>因此，兰溪市住房和城乡建设局于2023年1月委托上海市政工程设计研究总院（集团）有限公司编制了《兰溪市工业污水处理厂工程可行性研究报告》，就兰溪市工业污水处理厂工程进行初步设计，服务范围包括兰溪经济开发区兰江工业区（登胜路以北）、兰溪市经济开发区化工园区A区和B区、兰溪市女埠街道工业园区A区，设计内容包括新建5万m</w:t>
      </w:r>
      <w:r>
        <w:rPr>
          <w:rFonts w:hint="eastAsia"/>
          <w:bCs/>
          <w:color w:val="000000"/>
          <w:sz w:val="24"/>
          <w:vertAlign w:val="superscript"/>
        </w:rPr>
        <w:t>3</w:t>
      </w:r>
      <w:r>
        <w:rPr>
          <w:rFonts w:hint="eastAsia"/>
          <w:bCs/>
          <w:color w:val="000000"/>
          <w:sz w:val="24"/>
        </w:rPr>
        <w:t>/d的污水处理构筑物及污泥的处理设施。</w:t>
      </w:r>
    </w:p>
    <w:p w14:paraId="2BD6B93B">
      <w:pPr>
        <w:spacing w:line="360" w:lineRule="auto"/>
        <w:ind w:firstLine="480" w:firstLineChars="200"/>
        <w:rPr>
          <w:rFonts w:hint="eastAsia"/>
          <w:bCs/>
          <w:color w:val="000000"/>
          <w:sz w:val="24"/>
        </w:rPr>
      </w:pPr>
      <w:r>
        <w:rPr>
          <w:rFonts w:hint="eastAsia"/>
          <w:bCs/>
          <w:color w:val="000000"/>
          <w:sz w:val="24"/>
        </w:rPr>
        <w:t>项目拟采用“粗格栅及进水泵房+细格栅及曝气沉砂池+调节池+事故池+初沉池+水解酸化+改良A/A/O+二次沉淀池+加介质高效沉淀池+V型滤池+</w:t>
      </w:r>
      <w:r>
        <w:rPr>
          <w:rFonts w:hint="eastAsia"/>
          <w:bCs/>
          <w:color w:val="000000"/>
          <w:sz w:val="24"/>
          <w:lang w:eastAsia="zh-CN"/>
        </w:rPr>
        <w:t>活性炭砂吸附池</w:t>
      </w:r>
      <w:r>
        <w:rPr>
          <w:rFonts w:hint="eastAsia"/>
          <w:bCs/>
          <w:color w:val="000000"/>
          <w:sz w:val="24"/>
        </w:rPr>
        <w:t>+紫外消毒池及出水泵房”处理工艺，设计出水水质达《城镇污水处理厂污染物排放标准》（GB18918-2002）的一级A标准排放标准</w:t>
      </w:r>
      <w:r>
        <w:rPr>
          <w:rFonts w:hint="eastAsia"/>
          <w:bCs/>
          <w:color w:val="000000"/>
          <w:sz w:val="24"/>
          <w:szCs w:val="24"/>
        </w:rPr>
        <w:t>后排入兰江。</w:t>
      </w:r>
      <w:r>
        <w:rPr>
          <w:rFonts w:hint="eastAsia"/>
          <w:color w:val="000000"/>
          <w:sz w:val="24"/>
          <w:szCs w:val="24"/>
        </w:rPr>
        <w:t>本项目实施后拟将兰溪市污水处理厂现有排污口取消，采用兰溪市工业污水厂与兰溪市污水处理厂合管排放方式，在现有排污口上游约1000m处新建排污口，采用暗管、江心（离岸约100m）排放方式，尾水管管径1600mm，排污口坐</w:t>
      </w:r>
      <w:r>
        <w:rPr>
          <w:color w:val="000000"/>
          <w:sz w:val="24"/>
          <w:szCs w:val="24"/>
        </w:rPr>
        <w:t>标为东经119°26′55″，29°14′36″</w:t>
      </w:r>
      <w:r>
        <w:rPr>
          <w:rFonts w:hint="eastAsia"/>
          <w:color w:val="000000"/>
          <w:sz w:val="24"/>
          <w:szCs w:val="24"/>
        </w:rPr>
        <w:t>，纳污水体为兰江。本项目兰溪市工业污水处理厂设计污水处理规模为5万m</w:t>
      </w:r>
      <w:r>
        <w:rPr>
          <w:rFonts w:hint="eastAsia"/>
          <w:color w:val="000000"/>
          <w:sz w:val="24"/>
          <w:szCs w:val="24"/>
          <w:vertAlign w:val="superscript"/>
        </w:rPr>
        <w:t>3</w:t>
      </w:r>
      <w:r>
        <w:rPr>
          <w:rFonts w:hint="eastAsia"/>
          <w:color w:val="000000"/>
          <w:sz w:val="24"/>
          <w:szCs w:val="24"/>
        </w:rPr>
        <w:t>/d，兰溪市污水处理厂现有处理规模为10万m</w:t>
      </w:r>
      <w:r>
        <w:rPr>
          <w:rFonts w:hint="eastAsia"/>
          <w:color w:val="000000"/>
          <w:sz w:val="24"/>
          <w:szCs w:val="24"/>
          <w:vertAlign w:val="superscript"/>
        </w:rPr>
        <w:t>3</w:t>
      </w:r>
      <w:r>
        <w:rPr>
          <w:rFonts w:hint="eastAsia"/>
          <w:color w:val="000000"/>
          <w:sz w:val="24"/>
          <w:szCs w:val="24"/>
        </w:rPr>
        <w:t>/d，兰溪市污水处理厂规划扩容规模为6万m</w:t>
      </w:r>
      <w:r>
        <w:rPr>
          <w:rFonts w:hint="eastAsia"/>
          <w:color w:val="000000"/>
          <w:sz w:val="24"/>
          <w:szCs w:val="24"/>
          <w:vertAlign w:val="superscript"/>
        </w:rPr>
        <w:t>3</w:t>
      </w:r>
      <w:r>
        <w:rPr>
          <w:rFonts w:hint="eastAsia"/>
          <w:color w:val="000000"/>
          <w:sz w:val="24"/>
          <w:szCs w:val="24"/>
        </w:rPr>
        <w:t>/d，合计入河排污口的规模为21万m</w:t>
      </w:r>
      <w:r>
        <w:rPr>
          <w:rFonts w:hint="eastAsia"/>
          <w:color w:val="000000"/>
          <w:sz w:val="24"/>
          <w:szCs w:val="24"/>
          <w:vertAlign w:val="superscript"/>
        </w:rPr>
        <w:t>3</w:t>
      </w:r>
      <w:r>
        <w:rPr>
          <w:rFonts w:hint="eastAsia"/>
          <w:color w:val="000000"/>
          <w:sz w:val="24"/>
          <w:szCs w:val="24"/>
        </w:rPr>
        <w:t>/d。</w:t>
      </w:r>
      <w:r>
        <w:rPr>
          <w:rFonts w:hint="eastAsia"/>
          <w:bCs/>
          <w:color w:val="000000"/>
          <w:sz w:val="24"/>
          <w:szCs w:val="24"/>
        </w:rPr>
        <w:t>项目已</w:t>
      </w:r>
      <w:r>
        <w:rPr>
          <w:rFonts w:hint="eastAsia"/>
          <w:bCs/>
          <w:color w:val="000000"/>
          <w:sz w:val="24"/>
        </w:rPr>
        <w:t>取得兰溪市发展和改革局核准，项目代码2308-330781-04-01-899709。</w:t>
      </w:r>
    </w:p>
    <w:p w14:paraId="011C2DC4">
      <w:pPr>
        <w:pStyle w:val="16"/>
        <w:ind w:firstLine="480"/>
        <w:rPr>
          <w:rFonts w:hint="eastAsia" w:hAnsi="宋体"/>
          <w:color w:val="000000"/>
          <w:kern w:val="2"/>
          <w:szCs w:val="24"/>
        </w:rPr>
      </w:pPr>
      <w:r>
        <w:rPr>
          <w:rFonts w:hint="eastAsia" w:hAnsi="宋体"/>
          <w:color w:val="000000"/>
          <w:kern w:val="2"/>
          <w:szCs w:val="24"/>
        </w:rPr>
        <w:t>建设单位排污口设置方案初步设想为：</w:t>
      </w:r>
    </w:p>
    <w:p w14:paraId="250FA861">
      <w:pPr>
        <w:pStyle w:val="16"/>
        <w:ind w:firstLine="480"/>
        <w:rPr>
          <w:rFonts w:hint="eastAsia" w:hAnsi="宋体"/>
          <w:color w:val="000000"/>
          <w:kern w:val="2"/>
          <w:szCs w:val="24"/>
        </w:rPr>
      </w:pPr>
      <w:r>
        <w:rPr>
          <w:rFonts w:hint="eastAsia" w:hAnsi="宋体"/>
          <w:color w:val="000000"/>
          <w:kern w:val="2"/>
          <w:szCs w:val="24"/>
        </w:rPr>
        <w:t>方案一：利用兰溪市污水处理厂现有排污口，江心排放（离岸约100m），兰溪市污水处理厂和工业污水处理厂合管排放；</w:t>
      </w:r>
    </w:p>
    <w:p w14:paraId="465A7E5E">
      <w:pPr>
        <w:pStyle w:val="16"/>
        <w:ind w:firstLine="480"/>
        <w:rPr>
          <w:rFonts w:hint="eastAsia" w:hAnsi="宋体"/>
          <w:color w:val="000000"/>
          <w:kern w:val="2"/>
          <w:szCs w:val="24"/>
        </w:rPr>
      </w:pPr>
      <w:r>
        <w:rPr>
          <w:rFonts w:hint="eastAsia" w:hAnsi="宋体"/>
          <w:color w:val="000000"/>
          <w:kern w:val="2"/>
          <w:szCs w:val="24"/>
        </w:rPr>
        <w:t>方案二：取消兰溪市污水处理厂现有排污口，新建排污口，位于兰溪市污水处理厂现有排污口上游约1000m，江心排放（离岸约100m），兰溪市污水处理厂和工业污水处理厂合管排放。</w:t>
      </w:r>
    </w:p>
    <w:p w14:paraId="6E017A02">
      <w:pPr>
        <w:pStyle w:val="16"/>
        <w:ind w:firstLine="480"/>
        <w:rPr>
          <w:rFonts w:hint="eastAsia" w:hAnsi="宋体"/>
          <w:color w:val="000000"/>
          <w:kern w:val="2"/>
          <w:szCs w:val="24"/>
        </w:rPr>
      </w:pPr>
      <w:r>
        <w:rPr>
          <w:rFonts w:hint="eastAsia" w:hAnsi="宋体"/>
          <w:color w:val="000000"/>
          <w:kern w:val="2"/>
          <w:szCs w:val="24"/>
        </w:rPr>
        <w:t>从下游控制断面污染物影响程度、通航、建设成本等方面对方案进行比选，比选结果如下表所示。</w:t>
      </w:r>
    </w:p>
    <w:p w14:paraId="477AA0B5">
      <w:pPr>
        <w:pStyle w:val="20"/>
        <w:numPr>
          <w:ilvl w:val="4"/>
          <w:numId w:val="2"/>
        </w:numPr>
        <w:ind w:left="0"/>
        <w:rPr>
          <w:rFonts w:hint="eastAsia"/>
          <w:color w:val="000000"/>
          <w:w w:val="100"/>
        </w:rPr>
      </w:pPr>
      <w:r>
        <w:rPr>
          <w:rFonts w:hint="eastAsia"/>
          <w:color w:val="000000"/>
          <w:w w:val="100"/>
          <w:lang w:val="en-US" w:eastAsia="zh-CN"/>
        </w:rPr>
        <w:t>排污口</w:t>
      </w:r>
      <w:r>
        <w:rPr>
          <w:rFonts w:hint="eastAsia"/>
          <w:color w:val="000000"/>
          <w:w w:val="100"/>
        </w:rPr>
        <w:t>方案比选结果表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3289"/>
        <w:gridCol w:w="3290"/>
        <w:gridCol w:w="1083"/>
      </w:tblGrid>
      <w:tr w14:paraId="2BE14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3" w:type="pct"/>
            <w:noWrap w:val="0"/>
            <w:vAlign w:val="center"/>
          </w:tcPr>
          <w:p w14:paraId="1646E8C2">
            <w:pPr>
              <w:widowControl/>
              <w:spacing w:line="240" w:lineRule="auto"/>
              <w:jc w:val="center"/>
              <w:rPr>
                <w:rFonts w:hint="default" w:ascii="Times New Roman" w:hAnsi="Times New Roman" w:eastAsia="宋体" w:cs="Times New Roman"/>
                <w:b/>
                <w:bCs/>
                <w:color w:val="000000"/>
                <w:sz w:val="21"/>
                <w:szCs w:val="21"/>
                <w:highlight w:val="none"/>
                <w:vertAlign w:val="baseline"/>
                <w:lang w:val="en-US" w:eastAsia="zh-CN"/>
              </w:rPr>
            </w:pPr>
            <w:r>
              <w:rPr>
                <w:rFonts w:hint="default" w:ascii="Times New Roman" w:hAnsi="Times New Roman" w:eastAsia="宋体" w:cs="Times New Roman"/>
                <w:b/>
                <w:bCs/>
                <w:color w:val="000000"/>
                <w:sz w:val="21"/>
                <w:szCs w:val="21"/>
                <w:highlight w:val="none"/>
                <w:vertAlign w:val="baseline"/>
                <w:lang w:val="en-US" w:eastAsia="zh-CN"/>
              </w:rPr>
              <w:t>方案</w:t>
            </w:r>
          </w:p>
        </w:tc>
        <w:tc>
          <w:tcPr>
            <w:tcW w:w="1930" w:type="pct"/>
            <w:noWrap w:val="0"/>
            <w:vAlign w:val="center"/>
          </w:tcPr>
          <w:p w14:paraId="605975A4">
            <w:pPr>
              <w:widowControl/>
              <w:spacing w:line="240" w:lineRule="auto"/>
              <w:jc w:val="center"/>
              <w:rPr>
                <w:rFonts w:hint="default" w:ascii="Times New Roman" w:hAnsi="Times New Roman" w:eastAsia="宋体" w:cs="Times New Roman"/>
                <w:b/>
                <w:bCs/>
                <w:color w:val="000000"/>
                <w:sz w:val="21"/>
                <w:szCs w:val="21"/>
                <w:highlight w:val="none"/>
                <w:vertAlign w:val="baseline"/>
                <w:lang w:val="en-US" w:eastAsia="zh-CN"/>
              </w:rPr>
            </w:pPr>
            <w:r>
              <w:rPr>
                <w:rFonts w:hint="default" w:ascii="Times New Roman" w:hAnsi="Times New Roman" w:eastAsia="宋体" w:cs="Times New Roman"/>
                <w:b/>
                <w:bCs/>
                <w:color w:val="000000"/>
                <w:sz w:val="21"/>
                <w:szCs w:val="21"/>
                <w:highlight w:val="none"/>
                <w:lang w:val="en-US" w:eastAsia="zh-CN"/>
              </w:rPr>
              <w:t>下游控制断面影响情况</w:t>
            </w:r>
          </w:p>
        </w:tc>
        <w:tc>
          <w:tcPr>
            <w:tcW w:w="1930" w:type="pct"/>
            <w:noWrap w:val="0"/>
            <w:vAlign w:val="center"/>
          </w:tcPr>
          <w:p w14:paraId="766D66F1">
            <w:pPr>
              <w:widowControl/>
              <w:spacing w:line="240" w:lineRule="auto"/>
              <w:jc w:val="center"/>
              <w:rPr>
                <w:rFonts w:hint="default" w:ascii="Times New Roman" w:hAnsi="Times New Roman" w:eastAsia="宋体" w:cs="Times New Roman"/>
                <w:b/>
                <w:bCs/>
                <w:color w:val="000000"/>
                <w:sz w:val="21"/>
                <w:szCs w:val="21"/>
                <w:highlight w:val="none"/>
                <w:vertAlign w:val="baseline"/>
                <w:lang w:val="en-US" w:eastAsia="zh-CN"/>
              </w:rPr>
            </w:pPr>
            <w:r>
              <w:rPr>
                <w:rFonts w:hint="default" w:ascii="Times New Roman" w:hAnsi="Times New Roman" w:eastAsia="宋体" w:cs="Times New Roman"/>
                <w:b/>
                <w:bCs/>
                <w:color w:val="000000"/>
                <w:sz w:val="21"/>
                <w:szCs w:val="21"/>
                <w:highlight w:val="none"/>
                <w:vertAlign w:val="baseline"/>
                <w:lang w:val="en-US" w:eastAsia="zh-CN"/>
              </w:rPr>
              <w:t>通航影响</w:t>
            </w:r>
          </w:p>
        </w:tc>
        <w:tc>
          <w:tcPr>
            <w:tcW w:w="635" w:type="pct"/>
            <w:noWrap w:val="0"/>
            <w:vAlign w:val="center"/>
          </w:tcPr>
          <w:p w14:paraId="5ABACA10">
            <w:pPr>
              <w:widowControl/>
              <w:spacing w:line="240" w:lineRule="auto"/>
              <w:jc w:val="center"/>
              <w:rPr>
                <w:rFonts w:hint="default" w:ascii="Times New Roman" w:hAnsi="Times New Roman" w:eastAsia="宋体" w:cs="Times New Roman"/>
                <w:b/>
                <w:bCs/>
                <w:color w:val="000000"/>
                <w:sz w:val="21"/>
                <w:szCs w:val="21"/>
                <w:highlight w:val="none"/>
                <w:vertAlign w:val="baseline"/>
                <w:lang w:val="en-US" w:eastAsia="zh-CN"/>
              </w:rPr>
            </w:pPr>
            <w:r>
              <w:rPr>
                <w:rFonts w:hint="default" w:ascii="Times New Roman" w:hAnsi="Times New Roman" w:eastAsia="宋体" w:cs="Times New Roman"/>
                <w:b/>
                <w:bCs/>
                <w:color w:val="000000"/>
                <w:sz w:val="21"/>
                <w:szCs w:val="21"/>
                <w:highlight w:val="none"/>
                <w:vertAlign w:val="baseline"/>
                <w:lang w:val="en-US" w:eastAsia="zh-CN"/>
              </w:rPr>
              <w:t>建设成本</w:t>
            </w:r>
          </w:p>
        </w:tc>
      </w:tr>
      <w:tr w14:paraId="3CBB5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3" w:type="pct"/>
            <w:noWrap w:val="0"/>
            <w:vAlign w:val="center"/>
          </w:tcPr>
          <w:p w14:paraId="6FB92665">
            <w:pPr>
              <w:widowControl/>
              <w:spacing w:line="240" w:lineRule="auto"/>
              <w:jc w:val="center"/>
              <w:rPr>
                <w:rFonts w:hint="default" w:ascii="Times New Roman" w:hAnsi="Times New Roman" w:eastAsia="宋体" w:cs="Times New Roman"/>
                <w:color w:val="000000"/>
                <w:sz w:val="21"/>
                <w:szCs w:val="21"/>
                <w:highlight w:val="none"/>
                <w:vertAlign w:val="baseline"/>
                <w:lang w:val="en-US" w:eastAsia="zh-CN"/>
              </w:rPr>
            </w:pPr>
            <w:r>
              <w:rPr>
                <w:rFonts w:hint="default" w:ascii="Times New Roman" w:hAnsi="Times New Roman" w:eastAsia="宋体" w:cs="Times New Roman"/>
                <w:color w:val="000000"/>
                <w:sz w:val="21"/>
                <w:szCs w:val="21"/>
                <w:highlight w:val="none"/>
                <w:lang w:val="en-US" w:eastAsia="zh-CN"/>
              </w:rPr>
              <w:t>方案一</w:t>
            </w:r>
          </w:p>
        </w:tc>
        <w:tc>
          <w:tcPr>
            <w:tcW w:w="1930" w:type="pct"/>
            <w:noWrap w:val="0"/>
            <w:vAlign w:val="center"/>
          </w:tcPr>
          <w:p w14:paraId="18406AF4">
            <w:pPr>
              <w:widowControl/>
              <w:spacing w:line="240" w:lineRule="auto"/>
              <w:jc w:val="center"/>
              <w:rPr>
                <w:rFonts w:hint="default" w:ascii="Times New Roman" w:hAnsi="Times New Roman" w:eastAsia="宋体" w:cs="Times New Roman"/>
                <w:color w:val="000000"/>
                <w:sz w:val="21"/>
                <w:szCs w:val="21"/>
                <w:highlight w:val="none"/>
                <w:vertAlign w:val="baseline"/>
                <w:lang w:val="en-US" w:eastAsia="zh-CN"/>
              </w:rPr>
            </w:pPr>
            <w:r>
              <w:rPr>
                <w:rFonts w:hint="default" w:ascii="Times New Roman" w:hAnsi="Times New Roman" w:eastAsia="宋体" w:cs="Times New Roman"/>
                <w:color w:val="000000"/>
                <w:sz w:val="21"/>
                <w:szCs w:val="21"/>
                <w:highlight w:val="none"/>
                <w:vertAlign w:val="baseline"/>
                <w:lang w:val="en-US" w:eastAsia="zh-CN"/>
              </w:rPr>
              <w:t>正常工况下，女埠断面能达标，但无安全容量</w:t>
            </w:r>
          </w:p>
        </w:tc>
        <w:tc>
          <w:tcPr>
            <w:tcW w:w="1930" w:type="pct"/>
            <w:noWrap w:val="0"/>
            <w:vAlign w:val="center"/>
          </w:tcPr>
          <w:p w14:paraId="0CEFEA50">
            <w:pPr>
              <w:widowControl/>
              <w:spacing w:line="240" w:lineRule="auto"/>
              <w:jc w:val="center"/>
              <w:rPr>
                <w:rFonts w:hint="default" w:ascii="Times New Roman" w:hAnsi="Times New Roman" w:eastAsia="宋体" w:cs="Times New Roman"/>
                <w:color w:val="000000"/>
                <w:sz w:val="21"/>
                <w:szCs w:val="21"/>
                <w:highlight w:val="none"/>
                <w:vertAlign w:val="baseline"/>
                <w:lang w:val="en-US" w:eastAsia="zh-CN"/>
              </w:rPr>
            </w:pPr>
            <w:r>
              <w:rPr>
                <w:rFonts w:hint="default" w:ascii="Times New Roman" w:hAnsi="Times New Roman" w:eastAsia="宋体" w:cs="Times New Roman"/>
                <w:color w:val="000000"/>
                <w:sz w:val="21"/>
                <w:szCs w:val="21"/>
                <w:highlight w:val="none"/>
                <w:vertAlign w:val="baseline"/>
                <w:lang w:val="en-US" w:eastAsia="zh-CN"/>
              </w:rPr>
              <w:t>现有排污口水量增加，对通航有影响</w:t>
            </w:r>
          </w:p>
        </w:tc>
        <w:tc>
          <w:tcPr>
            <w:tcW w:w="635" w:type="pct"/>
            <w:noWrap w:val="0"/>
            <w:vAlign w:val="center"/>
          </w:tcPr>
          <w:p w14:paraId="6589A15A">
            <w:pPr>
              <w:widowControl/>
              <w:spacing w:line="240" w:lineRule="auto"/>
              <w:jc w:val="center"/>
              <w:rPr>
                <w:rFonts w:hint="default" w:ascii="Times New Roman" w:hAnsi="Times New Roman" w:eastAsia="宋体" w:cs="Times New Roman"/>
                <w:color w:val="000000"/>
                <w:sz w:val="21"/>
                <w:szCs w:val="21"/>
                <w:highlight w:val="none"/>
                <w:vertAlign w:val="baseline"/>
                <w:lang w:val="en-US" w:eastAsia="zh-CN"/>
              </w:rPr>
            </w:pPr>
            <w:r>
              <w:rPr>
                <w:rFonts w:hint="default" w:ascii="Times New Roman" w:hAnsi="Times New Roman" w:eastAsia="宋体" w:cs="Times New Roman"/>
                <w:color w:val="000000"/>
                <w:sz w:val="21"/>
                <w:szCs w:val="21"/>
                <w:highlight w:val="none"/>
                <w:vertAlign w:val="baseline"/>
                <w:lang w:val="en-US" w:eastAsia="zh-CN"/>
              </w:rPr>
              <w:t>较小</w:t>
            </w:r>
          </w:p>
        </w:tc>
      </w:tr>
      <w:tr w14:paraId="4D89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3" w:type="pct"/>
            <w:noWrap w:val="0"/>
            <w:vAlign w:val="center"/>
          </w:tcPr>
          <w:p w14:paraId="72459A0A">
            <w:pPr>
              <w:widowControl/>
              <w:spacing w:line="240" w:lineRule="auto"/>
              <w:jc w:val="center"/>
              <w:rPr>
                <w:rFonts w:hint="default" w:ascii="Times New Roman" w:hAnsi="Times New Roman" w:eastAsia="宋体" w:cs="Times New Roman"/>
                <w:color w:val="000000"/>
                <w:sz w:val="21"/>
                <w:szCs w:val="21"/>
                <w:highlight w:val="none"/>
                <w:vertAlign w:val="baseline"/>
                <w:lang w:val="en-US" w:eastAsia="zh-CN"/>
              </w:rPr>
            </w:pPr>
            <w:r>
              <w:rPr>
                <w:rFonts w:hint="default" w:ascii="Times New Roman" w:hAnsi="Times New Roman" w:eastAsia="宋体" w:cs="Times New Roman"/>
                <w:color w:val="000000"/>
                <w:sz w:val="21"/>
                <w:szCs w:val="21"/>
                <w:highlight w:val="none"/>
                <w:lang w:val="en-US" w:eastAsia="zh-CN"/>
              </w:rPr>
              <w:t>方案二</w:t>
            </w:r>
          </w:p>
        </w:tc>
        <w:tc>
          <w:tcPr>
            <w:tcW w:w="1930" w:type="pct"/>
            <w:noWrap w:val="0"/>
            <w:vAlign w:val="center"/>
          </w:tcPr>
          <w:p w14:paraId="290DCF7C">
            <w:pPr>
              <w:widowControl/>
              <w:spacing w:line="240" w:lineRule="auto"/>
              <w:jc w:val="center"/>
              <w:rPr>
                <w:rFonts w:hint="default" w:ascii="Times New Roman" w:hAnsi="Times New Roman" w:eastAsia="宋体" w:cs="Times New Roman"/>
                <w:color w:val="000000"/>
                <w:sz w:val="21"/>
                <w:szCs w:val="21"/>
                <w:highlight w:val="none"/>
                <w:vertAlign w:val="baseline"/>
                <w:lang w:val="en-US" w:eastAsia="zh-CN"/>
              </w:rPr>
            </w:pPr>
            <w:r>
              <w:rPr>
                <w:rFonts w:hint="default" w:ascii="Times New Roman" w:hAnsi="Times New Roman" w:eastAsia="宋体" w:cs="Times New Roman"/>
                <w:color w:val="000000"/>
                <w:sz w:val="21"/>
                <w:szCs w:val="21"/>
                <w:highlight w:val="none"/>
                <w:vertAlign w:val="baseline"/>
                <w:lang w:val="en-US" w:eastAsia="zh-CN"/>
              </w:rPr>
              <w:t>正常工况下，女埠断面能达标，有安全容量</w:t>
            </w:r>
          </w:p>
        </w:tc>
        <w:tc>
          <w:tcPr>
            <w:tcW w:w="1930" w:type="pct"/>
            <w:noWrap w:val="0"/>
            <w:vAlign w:val="center"/>
          </w:tcPr>
          <w:p w14:paraId="397D7476">
            <w:pPr>
              <w:widowControl/>
              <w:spacing w:line="240" w:lineRule="auto"/>
              <w:jc w:val="center"/>
              <w:rPr>
                <w:rFonts w:hint="default" w:ascii="Times New Roman" w:hAnsi="Times New Roman" w:eastAsia="宋体" w:cs="Times New Roman"/>
                <w:color w:val="000000"/>
                <w:sz w:val="21"/>
                <w:szCs w:val="21"/>
                <w:highlight w:val="none"/>
                <w:vertAlign w:val="baseline"/>
                <w:lang w:val="en-US" w:eastAsia="zh-CN"/>
              </w:rPr>
            </w:pPr>
            <w:r>
              <w:rPr>
                <w:rFonts w:hint="default" w:ascii="Times New Roman" w:hAnsi="Times New Roman" w:eastAsia="宋体" w:cs="Times New Roman"/>
                <w:color w:val="000000"/>
                <w:sz w:val="21"/>
                <w:szCs w:val="21"/>
                <w:highlight w:val="none"/>
                <w:vertAlign w:val="baseline"/>
                <w:lang w:val="en-US" w:eastAsia="zh-CN"/>
              </w:rPr>
              <w:t>远离航道，对通航影响较小</w:t>
            </w:r>
          </w:p>
        </w:tc>
        <w:tc>
          <w:tcPr>
            <w:tcW w:w="635" w:type="pct"/>
            <w:noWrap w:val="0"/>
            <w:vAlign w:val="center"/>
          </w:tcPr>
          <w:p w14:paraId="37F9F49F">
            <w:pPr>
              <w:widowControl/>
              <w:spacing w:line="240" w:lineRule="auto"/>
              <w:jc w:val="center"/>
              <w:rPr>
                <w:rFonts w:hint="default" w:ascii="Times New Roman" w:hAnsi="Times New Roman" w:eastAsia="宋体" w:cs="Times New Roman"/>
                <w:color w:val="000000"/>
                <w:sz w:val="21"/>
                <w:szCs w:val="21"/>
                <w:highlight w:val="none"/>
                <w:vertAlign w:val="baseline"/>
                <w:lang w:val="en-US" w:eastAsia="zh-CN"/>
              </w:rPr>
            </w:pPr>
            <w:r>
              <w:rPr>
                <w:rFonts w:hint="default" w:ascii="Times New Roman" w:hAnsi="Times New Roman" w:eastAsia="宋体" w:cs="Times New Roman"/>
                <w:color w:val="000000"/>
                <w:sz w:val="21"/>
                <w:szCs w:val="21"/>
                <w:highlight w:val="none"/>
                <w:vertAlign w:val="baseline"/>
                <w:lang w:val="en-US" w:eastAsia="zh-CN"/>
              </w:rPr>
              <w:t>较大</w:t>
            </w:r>
          </w:p>
        </w:tc>
      </w:tr>
    </w:tbl>
    <w:p w14:paraId="5AE3036D">
      <w:pPr>
        <w:pStyle w:val="16"/>
        <w:keepNext w:val="0"/>
        <w:keepLines w:val="0"/>
        <w:pageBreakBefore w:val="0"/>
        <w:widowControl w:val="0"/>
        <w:kinsoku/>
        <w:wordWrap/>
        <w:overflowPunct/>
        <w:topLinePunct w:val="0"/>
        <w:autoSpaceDE/>
        <w:autoSpaceDN/>
        <w:bidi w:val="0"/>
        <w:adjustRightInd/>
        <w:snapToGrid/>
        <w:spacing w:before="157" w:beforeLines="50"/>
        <w:ind w:firstLine="480"/>
        <w:textAlignment w:val="auto"/>
        <w:rPr>
          <w:rFonts w:hint="eastAsia" w:hAnsi="宋体"/>
          <w:color w:val="000000"/>
          <w:kern w:val="2"/>
          <w:szCs w:val="24"/>
        </w:rPr>
      </w:pPr>
      <w:r>
        <w:rPr>
          <w:rFonts w:hint="eastAsia" w:hAnsi="宋体"/>
          <w:color w:val="000000"/>
          <w:kern w:val="2"/>
          <w:szCs w:val="24"/>
        </w:rPr>
        <w:t>综合考虑，方案一对下游女埠控制断面、通航的影响均较大，综合考虑，建设单位拟采用方案二进行</w:t>
      </w:r>
      <w:r>
        <w:rPr>
          <w:rFonts w:hint="eastAsia" w:hAnsi="宋体"/>
          <w:color w:val="000000"/>
          <w:kern w:val="2"/>
          <w:szCs w:val="24"/>
          <w:lang w:val="en-US" w:eastAsia="zh-CN"/>
        </w:rPr>
        <w:t>新建排污口</w:t>
      </w:r>
      <w:r>
        <w:rPr>
          <w:rFonts w:hint="eastAsia" w:hAnsi="宋体"/>
          <w:color w:val="000000"/>
          <w:kern w:val="2"/>
          <w:szCs w:val="24"/>
        </w:rPr>
        <w:t>。</w:t>
      </w:r>
    </w:p>
    <w:p w14:paraId="04872225">
      <w:pPr>
        <w:pStyle w:val="16"/>
        <w:ind w:firstLine="480"/>
        <w:rPr>
          <w:rFonts w:hint="eastAsia" w:hAnsi="宋体"/>
          <w:color w:val="000000"/>
          <w:kern w:val="2"/>
          <w:szCs w:val="24"/>
        </w:rPr>
      </w:pPr>
      <w:r>
        <w:rPr>
          <w:rFonts w:hint="eastAsia" w:hAnsi="宋体"/>
          <w:color w:val="000000"/>
          <w:kern w:val="2"/>
          <w:szCs w:val="24"/>
        </w:rPr>
        <w:t>为科学、客观地评价项目建设可能对环境所造成的影响，根据《中华人民共和国环境影响评价法》</w:t>
      </w:r>
      <w:r>
        <w:rPr>
          <w:rFonts w:hint="eastAsia" w:hAnsi="宋体"/>
          <w:color w:val="000000"/>
          <w:kern w:val="2"/>
          <w:szCs w:val="24"/>
          <w:lang w:eastAsia="zh-CN"/>
        </w:rPr>
        <w:t>、</w:t>
      </w:r>
      <w:r>
        <w:rPr>
          <w:rFonts w:hint="eastAsia" w:hAnsi="宋体"/>
          <w:color w:val="000000"/>
          <w:kern w:val="2"/>
          <w:szCs w:val="24"/>
        </w:rPr>
        <w:t>《建设项目环境保护管理条例》（国务院第682号令）、《浙江省建设项目环境保护管理办法》（浙江省人民政府令388号）等相关法律、法规的要求，该项目的建设应进行环境影响评价，以使项目在建设、发展过程中得到社会、经济和环境效益相互协调和促进。</w:t>
      </w:r>
    </w:p>
    <w:p w14:paraId="7AB79CAD">
      <w:pPr>
        <w:pStyle w:val="16"/>
        <w:ind w:firstLine="480"/>
        <w:rPr>
          <w:rFonts w:hint="eastAsia"/>
          <w:color w:val="000000"/>
        </w:rPr>
      </w:pPr>
      <w:r>
        <w:rPr>
          <w:rFonts w:hint="eastAsia"/>
          <w:color w:val="000000"/>
        </w:rPr>
        <w:t>根据《建设项目环境影响评价分类管理名录》（2021年版）中的“四十三、水的生产和供应业</w:t>
      </w:r>
      <w:r>
        <w:rPr>
          <w:color w:val="000000"/>
        </w:rPr>
        <w:t>——</w:t>
      </w:r>
      <w:r>
        <w:rPr>
          <w:rFonts w:hint="eastAsia"/>
          <w:color w:val="000000"/>
        </w:rPr>
        <w:t>95 污水处理及其再生利用</w:t>
      </w:r>
      <w:r>
        <w:rPr>
          <w:color w:val="000000"/>
        </w:rPr>
        <w:t>——</w:t>
      </w:r>
      <w:r>
        <w:rPr>
          <w:rFonts w:hint="eastAsia"/>
          <w:color w:val="000000"/>
        </w:rPr>
        <w:t>新建、扩建工业废水集中处理的”，本项目为新建工业废水集中处理厂，应编制环境影响报告书。</w:t>
      </w:r>
    </w:p>
    <w:p w14:paraId="6539061D">
      <w:pPr>
        <w:pStyle w:val="16"/>
        <w:ind w:firstLine="480"/>
        <w:rPr>
          <w:rFonts w:hint="eastAsia"/>
          <w:color w:val="000000"/>
        </w:rPr>
      </w:pPr>
      <w:r>
        <w:rPr>
          <w:color w:val="000000"/>
        </w:rPr>
        <w:t>为此，</w:t>
      </w:r>
      <w:r>
        <w:rPr>
          <w:rFonts w:hint="eastAsia"/>
          <w:color w:val="000000"/>
        </w:rPr>
        <w:t>兰溪市污水管网建设管理有限公司</w:t>
      </w:r>
      <w:r>
        <w:rPr>
          <w:color w:val="000000"/>
        </w:rPr>
        <w:t>委托</w:t>
      </w:r>
      <w:r>
        <w:rPr>
          <w:rFonts w:hint="eastAsia"/>
          <w:color w:val="000000"/>
        </w:rPr>
        <w:t>浙江环耀环境建设</w:t>
      </w:r>
      <w:r>
        <w:rPr>
          <w:color w:val="000000"/>
        </w:rPr>
        <w:t>有限公司对建设项目进行环境影响评价。我公司接受委托后，即组织有关人员赴现场进行踏勘及社会调查、收集有关资料，</w:t>
      </w:r>
      <w:r>
        <w:rPr>
          <w:rFonts w:hint="eastAsia"/>
          <w:color w:val="000000"/>
        </w:rPr>
        <w:t>进行必要的环境现状监测，并对同类项目类比调查和本项目工程分析的基础上确定本项目的污染物源强，提出稳定可靠的治理措施，论证本项目建设的环保可行性。在此基础上，我单位按照环评导则等相关要求编制完成了《兰溪市工业污水处理厂工程环境影响报告书》。</w:t>
      </w:r>
    </w:p>
    <w:bookmarkEnd w:id="23"/>
    <w:bookmarkEnd w:id="24"/>
    <w:bookmarkEnd w:id="25"/>
    <w:bookmarkEnd w:id="26"/>
    <w:bookmarkEnd w:id="27"/>
    <w:bookmarkEnd w:id="28"/>
    <w:bookmarkEnd w:id="29"/>
    <w:p w14:paraId="2DBA0161">
      <w:pPr>
        <w:pStyle w:val="19"/>
        <w:ind w:left="0"/>
        <w:rPr>
          <w:color w:val="000000"/>
        </w:rPr>
      </w:pPr>
      <w:bookmarkStart w:id="31" w:name="_Toc535340373"/>
      <w:bookmarkStart w:id="32" w:name="_Toc469310733"/>
      <w:bookmarkStart w:id="33" w:name="_Toc470873798"/>
      <w:r>
        <w:rPr>
          <w:rFonts w:hint="eastAsia"/>
          <w:color w:val="000000"/>
        </w:rPr>
        <w:t>建设项目特点</w:t>
      </w:r>
      <w:bookmarkEnd w:id="31"/>
    </w:p>
    <w:p w14:paraId="581138FF">
      <w:pPr>
        <w:pStyle w:val="16"/>
        <w:ind w:firstLine="480"/>
        <w:rPr>
          <w:rFonts w:hint="eastAsia"/>
          <w:color w:val="000000"/>
        </w:rPr>
      </w:pPr>
      <w:bookmarkStart w:id="34" w:name="_Toc525475137"/>
      <w:r>
        <w:rPr>
          <w:rFonts w:hint="eastAsia"/>
          <w:color w:val="000000"/>
        </w:rPr>
        <w:t>本项目是城市基础设施建设项目，属于环保工程，对改善城市水环境质量、削减污染物排放量，对支持兰溪市经济、社会与环境的协调发展具有重要意义。但项目本身在建设期和营运期也会产生处理后的尾水、废气、噪声及污泥等污染物，需落实切实可行的措施予以防范。项目建设符合国家相关产业政策、城市总体规划布局等相关规划要求。</w:t>
      </w:r>
    </w:p>
    <w:p w14:paraId="29CC6C45">
      <w:pPr>
        <w:pStyle w:val="18"/>
        <w:rPr>
          <w:color w:val="000000"/>
        </w:rPr>
      </w:pPr>
      <w:bookmarkStart w:id="35" w:name="_Toc535340374"/>
      <w:bookmarkStart w:id="36" w:name="_Toc29504"/>
      <w:bookmarkStart w:id="37" w:name="_Toc31574"/>
      <w:r>
        <w:rPr>
          <w:rFonts w:hint="eastAsia"/>
          <w:color w:val="000000"/>
        </w:rPr>
        <w:t>环境影响评价的工作</w:t>
      </w:r>
      <w:bookmarkEnd w:id="32"/>
      <w:bookmarkEnd w:id="33"/>
      <w:r>
        <w:rPr>
          <w:rFonts w:hint="eastAsia"/>
          <w:color w:val="000000"/>
        </w:rPr>
        <w:t>过程</w:t>
      </w:r>
      <w:bookmarkEnd w:id="34"/>
      <w:bookmarkEnd w:id="35"/>
      <w:bookmarkEnd w:id="36"/>
      <w:bookmarkEnd w:id="37"/>
    </w:p>
    <w:p w14:paraId="652A2FA9">
      <w:pPr>
        <w:pStyle w:val="16"/>
        <w:ind w:firstLine="480"/>
        <w:rPr>
          <w:color w:val="000000"/>
        </w:rPr>
      </w:pPr>
      <w:bookmarkStart w:id="38" w:name="_Toc470873799"/>
      <w:bookmarkStart w:id="39" w:name="_Toc469310734"/>
      <w:r>
        <w:rPr>
          <w:color w:val="000000"/>
        </w:rPr>
        <w:t>第一阶段：</w:t>
      </w:r>
    </w:p>
    <w:p w14:paraId="344ACB3D">
      <w:pPr>
        <w:pStyle w:val="16"/>
        <w:ind w:firstLine="480"/>
        <w:rPr>
          <w:color w:val="000000"/>
        </w:rPr>
      </w:pPr>
      <w:r>
        <w:rPr>
          <w:color w:val="000000"/>
        </w:rPr>
        <w:t>（1）按照《建设项目环境影响评价技术导则-总纲》（HJ2.1-2016）要求，在接受企业委托后，研究国家和地方有关环境保护的法律法规、政策、标准及相关规划等，确定项目环境影响评价文件类型。</w:t>
      </w:r>
    </w:p>
    <w:p w14:paraId="11015BB4">
      <w:pPr>
        <w:pStyle w:val="16"/>
        <w:ind w:firstLine="480"/>
        <w:rPr>
          <w:color w:val="000000"/>
        </w:rPr>
      </w:pPr>
      <w:r>
        <w:rPr>
          <w:color w:val="000000"/>
        </w:rPr>
        <w:t>（2）根据项目特点，研究相关技术文件和其他有关文件，明确本项目的评价重点，识别环境影响因素、筛选评价因子，对项目进行初步工程分析。对项目选址地进行实地踏勘，对厂区及周围地区社会、气象、水文、项目所在地周围污染源分布情况进行了调查分析，确定项目环境保护目标、环评工作等级、评价范围和标准。</w:t>
      </w:r>
    </w:p>
    <w:p w14:paraId="7CAD97AD">
      <w:pPr>
        <w:pStyle w:val="16"/>
        <w:ind w:firstLine="480"/>
        <w:rPr>
          <w:color w:val="000000"/>
        </w:rPr>
      </w:pPr>
      <w:r>
        <w:rPr>
          <w:color w:val="000000"/>
        </w:rPr>
        <w:t>（3）制定工作方案</w:t>
      </w:r>
    </w:p>
    <w:p w14:paraId="144692FC">
      <w:pPr>
        <w:pStyle w:val="16"/>
        <w:ind w:firstLine="480"/>
        <w:rPr>
          <w:color w:val="000000"/>
        </w:rPr>
      </w:pPr>
      <w:r>
        <w:rPr>
          <w:rFonts w:hint="eastAsia"/>
          <w:color w:val="000000"/>
        </w:rPr>
        <w:t>第二阶段：</w:t>
      </w:r>
    </w:p>
    <w:p w14:paraId="77B2F83F">
      <w:pPr>
        <w:pStyle w:val="16"/>
        <w:ind w:firstLine="480"/>
        <w:rPr>
          <w:color w:val="000000"/>
        </w:rPr>
      </w:pPr>
      <w:r>
        <w:rPr>
          <w:rFonts w:hint="eastAsia" w:ascii="宋体" w:hAnsi="宋体" w:cs="宋体"/>
          <w:color w:val="000000"/>
        </w:rPr>
        <w:t>（1）</w:t>
      </w:r>
      <w:r>
        <w:rPr>
          <w:rFonts w:hint="eastAsia"/>
          <w:color w:val="000000"/>
        </w:rPr>
        <w:t>对项目所在区域环境现状进行监测，并进行分析。</w:t>
      </w:r>
    </w:p>
    <w:p w14:paraId="3E617656">
      <w:pPr>
        <w:pStyle w:val="16"/>
        <w:ind w:firstLine="480"/>
        <w:rPr>
          <w:color w:val="000000"/>
        </w:rPr>
      </w:pPr>
      <w:r>
        <w:rPr>
          <w:rFonts w:hint="eastAsia"/>
          <w:color w:val="000000"/>
        </w:rPr>
        <w:t>（2）根据企业实际建设内容及同类型企业污染源调查情况，建设单位提供的相关资料，完成建设项目工程分析章节，确定项目总量控制指标。</w:t>
      </w:r>
    </w:p>
    <w:p w14:paraId="0DB3725E">
      <w:pPr>
        <w:pStyle w:val="16"/>
        <w:ind w:firstLine="480"/>
        <w:rPr>
          <w:color w:val="000000"/>
        </w:rPr>
      </w:pPr>
      <w:r>
        <w:rPr>
          <w:rFonts w:hint="eastAsia"/>
          <w:color w:val="000000"/>
        </w:rPr>
        <w:t>（3）收集项目所在地环境特征资料包括自然环境、区域污染源情况，完成环境现状调查与评价章节。</w:t>
      </w:r>
    </w:p>
    <w:p w14:paraId="783C85F5">
      <w:pPr>
        <w:pStyle w:val="16"/>
        <w:ind w:firstLine="480"/>
        <w:rPr>
          <w:color w:val="000000"/>
        </w:rPr>
      </w:pPr>
      <w:r>
        <w:rPr>
          <w:rFonts w:hint="eastAsia"/>
          <w:color w:val="000000"/>
        </w:rPr>
        <w:t>（4）根据工程分析，完成大气环境影响预测与评价、水环境影响预测与评价、声环境影响预测与评价、固废影响分析等。</w:t>
      </w:r>
    </w:p>
    <w:p w14:paraId="702700EA">
      <w:pPr>
        <w:pStyle w:val="16"/>
        <w:ind w:firstLine="480"/>
        <w:rPr>
          <w:color w:val="000000"/>
        </w:rPr>
      </w:pPr>
      <w:r>
        <w:rPr>
          <w:color w:val="000000"/>
        </w:rPr>
        <w:t>第三阶段：</w:t>
      </w:r>
    </w:p>
    <w:p w14:paraId="4FA291A8">
      <w:pPr>
        <w:pStyle w:val="16"/>
        <w:ind w:firstLine="480"/>
        <w:rPr>
          <w:color w:val="000000"/>
        </w:rPr>
      </w:pPr>
      <w:r>
        <w:rPr>
          <w:color w:val="000000"/>
        </w:rPr>
        <w:t>（1）根据工程分析，完成环境保护措施及可行性论证章节。</w:t>
      </w:r>
    </w:p>
    <w:p w14:paraId="7347B1DC">
      <w:pPr>
        <w:pStyle w:val="16"/>
        <w:ind w:firstLine="480"/>
        <w:rPr>
          <w:color w:val="000000"/>
        </w:rPr>
      </w:pPr>
      <w:r>
        <w:rPr>
          <w:color w:val="000000"/>
        </w:rPr>
        <w:t>（2）根据建设项目环境影响情况，完成环境影响经济损益分析、环境管理与监测计划章节的撰写。</w:t>
      </w:r>
    </w:p>
    <w:p w14:paraId="0DA25D92">
      <w:pPr>
        <w:pStyle w:val="16"/>
        <w:ind w:firstLine="480"/>
        <w:rPr>
          <w:color w:val="000000"/>
        </w:rPr>
      </w:pPr>
      <w:r>
        <w:rPr>
          <w:color w:val="000000"/>
        </w:rPr>
        <w:t>（3）完成环境影响报告书的编制工作，送管理部门审查。</w:t>
      </w:r>
    </w:p>
    <w:p w14:paraId="09BB39B2">
      <w:pPr>
        <w:pStyle w:val="16"/>
        <w:ind w:firstLine="480"/>
        <w:rPr>
          <w:rFonts w:hint="eastAsia"/>
          <w:color w:val="000000"/>
        </w:rPr>
      </w:pPr>
      <w:r>
        <w:rPr>
          <w:rFonts w:hint="eastAsia"/>
          <w:color w:val="000000"/>
        </w:rPr>
        <w:t>具体工作流程见表</w:t>
      </w:r>
      <w:r>
        <w:rPr>
          <w:color w:val="000000"/>
        </w:rPr>
        <w:t>1.2-1</w:t>
      </w:r>
      <w:r>
        <w:rPr>
          <w:rFonts w:hint="eastAsia"/>
          <w:color w:val="000000"/>
        </w:rPr>
        <w:t>，具体工作流程图见图</w:t>
      </w:r>
      <w:r>
        <w:rPr>
          <w:color w:val="000000"/>
        </w:rPr>
        <w:t>1.2-1</w:t>
      </w:r>
      <w:r>
        <w:rPr>
          <w:rFonts w:hint="eastAsia"/>
          <w:color w:val="000000"/>
        </w:rPr>
        <w:t>。</w:t>
      </w:r>
    </w:p>
    <w:p w14:paraId="2D4EA4B0">
      <w:pPr>
        <w:pStyle w:val="20"/>
        <w:rPr>
          <w:color w:val="000000"/>
          <w:w w:val="100"/>
        </w:rPr>
      </w:pPr>
      <w:bookmarkStart w:id="40" w:name="_Toc590"/>
      <w:r>
        <w:rPr>
          <w:rFonts w:hint="eastAsia"/>
          <w:color w:val="000000"/>
          <w:w w:val="100"/>
        </w:rPr>
        <w:t>环境影响评价工作流程表</w:t>
      </w:r>
      <w:bookmarkEnd w:id="40"/>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261"/>
        <w:gridCol w:w="5010"/>
      </w:tblGrid>
      <w:tr w14:paraId="6C31D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715158ED">
            <w:pPr>
              <w:pStyle w:val="21"/>
              <w:rPr>
                <w:b/>
                <w:bCs/>
                <w:color w:val="000000"/>
                <w:szCs w:val="21"/>
              </w:rPr>
            </w:pPr>
            <w:r>
              <w:rPr>
                <w:rFonts w:hint="eastAsia"/>
                <w:b/>
                <w:bCs/>
                <w:color w:val="000000"/>
                <w:szCs w:val="21"/>
              </w:rPr>
              <w:t>阶段</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12C01BB4">
            <w:pPr>
              <w:pStyle w:val="21"/>
              <w:rPr>
                <w:b/>
                <w:bCs/>
                <w:color w:val="000000"/>
                <w:szCs w:val="21"/>
              </w:rPr>
            </w:pPr>
            <w:r>
              <w:rPr>
                <w:rFonts w:hint="eastAsia"/>
                <w:b/>
                <w:bCs/>
                <w:color w:val="000000"/>
                <w:szCs w:val="21"/>
              </w:rPr>
              <w:t>工作内容</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1BF4C64A">
            <w:pPr>
              <w:pStyle w:val="21"/>
              <w:rPr>
                <w:b/>
                <w:bCs/>
                <w:color w:val="000000"/>
                <w:szCs w:val="21"/>
              </w:rPr>
            </w:pPr>
            <w:r>
              <w:rPr>
                <w:rFonts w:hint="eastAsia"/>
                <w:b/>
                <w:bCs/>
                <w:color w:val="000000"/>
                <w:szCs w:val="21"/>
              </w:rPr>
              <w:t>工作依据、要求及细节</w:t>
            </w:r>
          </w:p>
        </w:tc>
      </w:tr>
      <w:tr w14:paraId="1145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14:paraId="27251EFA">
            <w:pPr>
              <w:pStyle w:val="21"/>
              <w:rPr>
                <w:color w:val="000000"/>
                <w:szCs w:val="21"/>
              </w:rPr>
            </w:pPr>
            <w:r>
              <w:rPr>
                <w:rFonts w:hint="eastAsia"/>
                <w:color w:val="000000"/>
                <w:szCs w:val="21"/>
              </w:rPr>
              <w:t>一</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422B4B8E">
            <w:pPr>
              <w:pStyle w:val="21"/>
              <w:rPr>
                <w:color w:val="000000"/>
                <w:szCs w:val="21"/>
              </w:rPr>
            </w:pPr>
            <w:r>
              <w:rPr>
                <w:rFonts w:hint="eastAsia"/>
                <w:color w:val="000000"/>
                <w:szCs w:val="21"/>
              </w:rPr>
              <w:t>确定项目环境影响评价类型为报告书</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70193ABD">
            <w:pPr>
              <w:pStyle w:val="21"/>
              <w:rPr>
                <w:color w:val="000000"/>
                <w:szCs w:val="21"/>
              </w:rPr>
            </w:pPr>
            <w:r>
              <w:rPr>
                <w:rFonts w:hint="eastAsia"/>
                <w:color w:val="000000"/>
                <w:szCs w:val="21"/>
              </w:rPr>
              <w:t>《建设项目环境影响评价技术导则</w:t>
            </w:r>
            <w:r>
              <w:rPr>
                <w:color w:val="000000"/>
                <w:szCs w:val="21"/>
              </w:rPr>
              <w:t xml:space="preserve"> </w:t>
            </w:r>
            <w:r>
              <w:rPr>
                <w:rFonts w:hint="eastAsia"/>
                <w:color w:val="000000"/>
                <w:szCs w:val="21"/>
              </w:rPr>
              <w:t>总纲》要求，受企业委托后，研究国家和地方有关环境保护的法律法规、政策、标准及相关规划等</w:t>
            </w:r>
          </w:p>
        </w:tc>
      </w:tr>
      <w:tr w14:paraId="6D62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01AB2D88">
            <w:pPr>
              <w:widowControl/>
              <w:jc w:val="left"/>
              <w:rPr>
                <w:color w:val="000000"/>
                <w:szCs w:val="21"/>
              </w:rPr>
            </w:pPr>
          </w:p>
        </w:tc>
        <w:tc>
          <w:tcPr>
            <w:tcW w:w="3261" w:type="dxa"/>
            <w:tcBorders>
              <w:top w:val="single" w:color="auto" w:sz="4" w:space="0"/>
              <w:left w:val="single" w:color="auto" w:sz="4" w:space="0"/>
              <w:bottom w:val="single" w:color="auto" w:sz="4" w:space="0"/>
              <w:right w:val="single" w:color="auto" w:sz="4" w:space="0"/>
            </w:tcBorders>
            <w:noWrap w:val="0"/>
            <w:vAlign w:val="center"/>
          </w:tcPr>
          <w:p w14:paraId="68C3C99A">
            <w:pPr>
              <w:pStyle w:val="21"/>
              <w:rPr>
                <w:color w:val="000000"/>
                <w:szCs w:val="21"/>
              </w:rPr>
            </w:pPr>
            <w:r>
              <w:rPr>
                <w:rFonts w:hint="eastAsia"/>
                <w:color w:val="000000"/>
                <w:szCs w:val="21"/>
              </w:rPr>
              <w:t>研究相关技术文件和其他相关文件；进行初步工程分析；开展初步的环境现状调查</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295C688E">
            <w:pPr>
              <w:pStyle w:val="21"/>
              <w:rPr>
                <w:color w:val="000000"/>
                <w:szCs w:val="21"/>
              </w:rPr>
            </w:pPr>
            <w:r>
              <w:rPr>
                <w:rFonts w:hint="eastAsia"/>
                <w:color w:val="000000"/>
                <w:szCs w:val="21"/>
              </w:rPr>
              <w:t>根据项目特点，研究相关技术文件和其他有关文件，进行初步的工程分析，开展初步的环境现状调查</w:t>
            </w:r>
          </w:p>
        </w:tc>
      </w:tr>
      <w:tr w14:paraId="57A3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089F6569">
            <w:pPr>
              <w:widowControl/>
              <w:jc w:val="left"/>
              <w:rPr>
                <w:color w:val="000000"/>
                <w:szCs w:val="21"/>
              </w:rPr>
            </w:pPr>
          </w:p>
        </w:tc>
        <w:tc>
          <w:tcPr>
            <w:tcW w:w="3261" w:type="dxa"/>
            <w:tcBorders>
              <w:top w:val="single" w:color="auto" w:sz="4" w:space="0"/>
              <w:left w:val="single" w:color="auto" w:sz="4" w:space="0"/>
              <w:bottom w:val="single" w:color="auto" w:sz="4" w:space="0"/>
              <w:right w:val="single" w:color="auto" w:sz="4" w:space="0"/>
            </w:tcBorders>
            <w:noWrap w:val="0"/>
            <w:vAlign w:val="center"/>
          </w:tcPr>
          <w:p w14:paraId="3B8BF83B">
            <w:pPr>
              <w:pStyle w:val="21"/>
              <w:rPr>
                <w:color w:val="000000"/>
                <w:szCs w:val="21"/>
              </w:rPr>
            </w:pPr>
            <w:r>
              <w:rPr>
                <w:rFonts w:hint="eastAsia"/>
                <w:color w:val="000000"/>
                <w:szCs w:val="21"/>
              </w:rPr>
              <w:t>环境影响识别和评价因子筛选；明确评价重点和环境保护目标；确定工作等级、评价范围和评价标准</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46ACE67B">
            <w:pPr>
              <w:pStyle w:val="21"/>
              <w:rPr>
                <w:color w:val="000000"/>
                <w:szCs w:val="21"/>
              </w:rPr>
            </w:pPr>
            <w:r>
              <w:rPr>
                <w:rFonts w:hint="eastAsia"/>
                <w:color w:val="000000"/>
                <w:szCs w:val="21"/>
              </w:rPr>
              <w:t>根据对项目初步调查，筛选评价因子；对项目选址选地进行实地踏勘，明确项目实施过程中的评价重点和环境保护目标；根据初步工程分析确定工作等级、评价范围和评价标准</w:t>
            </w:r>
          </w:p>
        </w:tc>
      </w:tr>
      <w:tr w14:paraId="4785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79C004AE">
            <w:pPr>
              <w:widowControl/>
              <w:jc w:val="left"/>
              <w:rPr>
                <w:color w:val="000000"/>
                <w:szCs w:val="21"/>
              </w:rPr>
            </w:pPr>
          </w:p>
        </w:tc>
        <w:tc>
          <w:tcPr>
            <w:tcW w:w="3261" w:type="dxa"/>
            <w:tcBorders>
              <w:top w:val="single" w:color="auto" w:sz="4" w:space="0"/>
              <w:left w:val="single" w:color="auto" w:sz="4" w:space="0"/>
              <w:bottom w:val="single" w:color="auto" w:sz="4" w:space="0"/>
              <w:right w:val="single" w:color="auto" w:sz="4" w:space="0"/>
            </w:tcBorders>
            <w:noWrap w:val="0"/>
            <w:vAlign w:val="center"/>
          </w:tcPr>
          <w:p w14:paraId="07840FCA">
            <w:pPr>
              <w:pStyle w:val="21"/>
              <w:rPr>
                <w:color w:val="000000"/>
                <w:szCs w:val="21"/>
              </w:rPr>
            </w:pPr>
            <w:r>
              <w:rPr>
                <w:rFonts w:hint="eastAsia"/>
                <w:color w:val="000000"/>
                <w:szCs w:val="21"/>
              </w:rPr>
              <w:t>确定项目环境保护目标、环评工作等级、评价范围和标准</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4CECB7CE">
            <w:pPr>
              <w:pStyle w:val="21"/>
              <w:rPr>
                <w:color w:val="000000"/>
                <w:szCs w:val="21"/>
              </w:rPr>
            </w:pPr>
            <w:r>
              <w:rPr>
                <w:rFonts w:hint="eastAsia"/>
                <w:color w:val="000000"/>
                <w:szCs w:val="21"/>
              </w:rPr>
              <w:t>对项目选址进行实地踏勘，对厂区及项目所在地气象、水文、周围污染源分布情况进行调查分析</w:t>
            </w:r>
          </w:p>
        </w:tc>
      </w:tr>
      <w:tr w14:paraId="40D4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0627F7AA">
            <w:pPr>
              <w:widowControl/>
              <w:jc w:val="left"/>
              <w:rPr>
                <w:color w:val="000000"/>
                <w:szCs w:val="21"/>
              </w:rPr>
            </w:pPr>
          </w:p>
        </w:tc>
        <w:tc>
          <w:tcPr>
            <w:tcW w:w="3261" w:type="dxa"/>
            <w:tcBorders>
              <w:top w:val="single" w:color="auto" w:sz="4" w:space="0"/>
              <w:left w:val="single" w:color="auto" w:sz="4" w:space="0"/>
              <w:bottom w:val="single" w:color="auto" w:sz="4" w:space="0"/>
              <w:right w:val="single" w:color="auto" w:sz="4" w:space="0"/>
            </w:tcBorders>
            <w:noWrap w:val="0"/>
            <w:vAlign w:val="center"/>
          </w:tcPr>
          <w:p w14:paraId="7040037B">
            <w:pPr>
              <w:pStyle w:val="21"/>
              <w:rPr>
                <w:color w:val="000000"/>
                <w:szCs w:val="21"/>
              </w:rPr>
            </w:pPr>
            <w:r>
              <w:rPr>
                <w:rFonts w:hint="eastAsia"/>
                <w:color w:val="000000"/>
                <w:szCs w:val="21"/>
              </w:rPr>
              <w:t>制定工作方案</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0724BAA1">
            <w:pPr>
              <w:pStyle w:val="21"/>
              <w:rPr>
                <w:color w:val="000000"/>
                <w:szCs w:val="21"/>
              </w:rPr>
            </w:pPr>
            <w:r>
              <w:rPr>
                <w:rFonts w:hint="eastAsia"/>
                <w:color w:val="000000"/>
                <w:szCs w:val="21"/>
              </w:rPr>
              <w:t>制定监测方案、现场调查方案，开展第二阶段工作</w:t>
            </w:r>
          </w:p>
        </w:tc>
      </w:tr>
      <w:tr w14:paraId="27EB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14:paraId="532D787A">
            <w:pPr>
              <w:pStyle w:val="21"/>
              <w:rPr>
                <w:color w:val="000000"/>
                <w:szCs w:val="21"/>
              </w:rPr>
            </w:pPr>
            <w:r>
              <w:rPr>
                <w:rFonts w:hint="eastAsia"/>
                <w:color w:val="000000"/>
                <w:szCs w:val="21"/>
              </w:rPr>
              <w:t>二</w:t>
            </w:r>
          </w:p>
        </w:tc>
        <w:tc>
          <w:tcPr>
            <w:tcW w:w="3261" w:type="dxa"/>
            <w:vMerge w:val="restart"/>
            <w:tcBorders>
              <w:top w:val="single" w:color="auto" w:sz="4" w:space="0"/>
              <w:left w:val="single" w:color="auto" w:sz="4" w:space="0"/>
              <w:bottom w:val="single" w:color="auto" w:sz="4" w:space="0"/>
              <w:right w:val="single" w:color="auto" w:sz="4" w:space="0"/>
            </w:tcBorders>
            <w:noWrap w:val="0"/>
            <w:vAlign w:val="center"/>
          </w:tcPr>
          <w:p w14:paraId="4D512712">
            <w:pPr>
              <w:pStyle w:val="21"/>
              <w:rPr>
                <w:color w:val="000000"/>
                <w:szCs w:val="21"/>
              </w:rPr>
            </w:pPr>
            <w:r>
              <w:rPr>
                <w:rFonts w:hint="eastAsia"/>
                <w:color w:val="000000"/>
                <w:szCs w:val="21"/>
              </w:rPr>
              <w:t>环境现状调查监测和评价</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491197E5">
            <w:pPr>
              <w:pStyle w:val="21"/>
              <w:rPr>
                <w:color w:val="000000"/>
                <w:szCs w:val="21"/>
              </w:rPr>
            </w:pPr>
            <w:r>
              <w:rPr>
                <w:rFonts w:hint="eastAsia"/>
                <w:color w:val="000000"/>
                <w:szCs w:val="21"/>
              </w:rPr>
              <w:t>对区域大气、地表水、地下水及土壤进行监测、收集、分析与评价</w:t>
            </w:r>
          </w:p>
        </w:tc>
      </w:tr>
      <w:tr w14:paraId="24EC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5A0EF5A8">
            <w:pPr>
              <w:widowControl/>
              <w:jc w:val="left"/>
              <w:rPr>
                <w:color w:val="000000"/>
                <w:szCs w:val="21"/>
              </w:rPr>
            </w:pPr>
          </w:p>
        </w:tc>
        <w:tc>
          <w:tcPr>
            <w:tcW w:w="3261" w:type="dxa"/>
            <w:vMerge w:val="continue"/>
            <w:tcBorders>
              <w:top w:val="single" w:color="auto" w:sz="4" w:space="0"/>
              <w:left w:val="single" w:color="auto" w:sz="4" w:space="0"/>
              <w:bottom w:val="single" w:color="auto" w:sz="4" w:space="0"/>
              <w:right w:val="single" w:color="auto" w:sz="4" w:space="0"/>
            </w:tcBorders>
            <w:noWrap w:val="0"/>
            <w:vAlign w:val="center"/>
          </w:tcPr>
          <w:p w14:paraId="569134A9">
            <w:pPr>
              <w:widowControl/>
              <w:jc w:val="left"/>
              <w:rPr>
                <w:color w:val="000000"/>
                <w:szCs w:val="21"/>
              </w:rPr>
            </w:pPr>
          </w:p>
        </w:tc>
        <w:tc>
          <w:tcPr>
            <w:tcW w:w="5010" w:type="dxa"/>
            <w:tcBorders>
              <w:top w:val="single" w:color="auto" w:sz="4" w:space="0"/>
              <w:left w:val="single" w:color="auto" w:sz="4" w:space="0"/>
              <w:bottom w:val="single" w:color="auto" w:sz="4" w:space="0"/>
              <w:right w:val="single" w:color="auto" w:sz="4" w:space="0"/>
            </w:tcBorders>
            <w:noWrap w:val="0"/>
            <w:vAlign w:val="center"/>
          </w:tcPr>
          <w:p w14:paraId="3B4D9285">
            <w:pPr>
              <w:pStyle w:val="21"/>
              <w:rPr>
                <w:color w:val="000000"/>
                <w:szCs w:val="21"/>
              </w:rPr>
            </w:pPr>
            <w:r>
              <w:rPr>
                <w:rFonts w:hint="eastAsia"/>
                <w:color w:val="000000"/>
                <w:szCs w:val="21"/>
              </w:rPr>
              <w:t>收集拟建地环境特征资料，包括自然环境、区域污染源情况</w:t>
            </w:r>
          </w:p>
        </w:tc>
      </w:tr>
      <w:tr w14:paraId="73722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2AD435E4">
            <w:pPr>
              <w:widowControl/>
              <w:jc w:val="left"/>
              <w:rPr>
                <w:color w:val="000000"/>
                <w:szCs w:val="21"/>
              </w:rPr>
            </w:pPr>
          </w:p>
        </w:tc>
        <w:tc>
          <w:tcPr>
            <w:tcW w:w="3261" w:type="dxa"/>
            <w:tcBorders>
              <w:top w:val="single" w:color="auto" w:sz="4" w:space="0"/>
              <w:left w:val="single" w:color="auto" w:sz="4" w:space="0"/>
              <w:bottom w:val="single" w:color="auto" w:sz="4" w:space="0"/>
              <w:right w:val="single" w:color="auto" w:sz="4" w:space="0"/>
            </w:tcBorders>
            <w:noWrap w:val="0"/>
            <w:vAlign w:val="center"/>
          </w:tcPr>
          <w:p w14:paraId="6FEF52E5">
            <w:pPr>
              <w:pStyle w:val="21"/>
              <w:rPr>
                <w:color w:val="000000"/>
                <w:szCs w:val="21"/>
              </w:rPr>
            </w:pPr>
            <w:r>
              <w:rPr>
                <w:rFonts w:hint="eastAsia"/>
                <w:color w:val="000000"/>
                <w:szCs w:val="21"/>
              </w:rPr>
              <w:t>对建设项目进行工程分析</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3883E159">
            <w:pPr>
              <w:pStyle w:val="21"/>
              <w:rPr>
                <w:color w:val="000000"/>
                <w:szCs w:val="21"/>
              </w:rPr>
            </w:pPr>
            <w:r>
              <w:rPr>
                <w:rFonts w:hint="eastAsia"/>
                <w:color w:val="000000"/>
                <w:szCs w:val="21"/>
              </w:rPr>
              <w:t>根据相关技术规范，分析核算项目各污染物产生及排放情况</w:t>
            </w:r>
          </w:p>
        </w:tc>
      </w:tr>
      <w:tr w14:paraId="0CA2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35BB26EE">
            <w:pPr>
              <w:widowControl/>
              <w:jc w:val="left"/>
              <w:rPr>
                <w:color w:val="000000"/>
                <w:szCs w:val="21"/>
              </w:rPr>
            </w:pPr>
          </w:p>
        </w:tc>
        <w:tc>
          <w:tcPr>
            <w:tcW w:w="3261" w:type="dxa"/>
            <w:tcBorders>
              <w:top w:val="single" w:color="auto" w:sz="4" w:space="0"/>
              <w:left w:val="single" w:color="auto" w:sz="4" w:space="0"/>
              <w:bottom w:val="single" w:color="auto" w:sz="4" w:space="0"/>
              <w:right w:val="single" w:color="auto" w:sz="4" w:space="0"/>
            </w:tcBorders>
            <w:noWrap w:val="0"/>
            <w:vAlign w:val="center"/>
          </w:tcPr>
          <w:p w14:paraId="19B7CF6C">
            <w:pPr>
              <w:pStyle w:val="21"/>
              <w:rPr>
                <w:color w:val="000000"/>
                <w:szCs w:val="21"/>
              </w:rPr>
            </w:pPr>
            <w:r>
              <w:rPr>
                <w:rFonts w:hint="eastAsia"/>
                <w:color w:val="000000"/>
                <w:szCs w:val="21"/>
              </w:rPr>
              <w:t>各环境要素环境影响预测与评价</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1DC7CBE3">
            <w:pPr>
              <w:pStyle w:val="21"/>
              <w:rPr>
                <w:color w:val="000000"/>
                <w:szCs w:val="21"/>
              </w:rPr>
            </w:pPr>
            <w:r>
              <w:rPr>
                <w:rFonts w:hint="eastAsia"/>
                <w:color w:val="000000"/>
                <w:szCs w:val="21"/>
              </w:rPr>
              <w:t>大气环境、水环境、声环境、固废、地下水、生态六方面展开环境影响预测与评价</w:t>
            </w:r>
          </w:p>
        </w:tc>
      </w:tr>
      <w:tr w14:paraId="21EE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328F7D99">
            <w:pPr>
              <w:widowControl/>
              <w:jc w:val="left"/>
              <w:rPr>
                <w:color w:val="000000"/>
                <w:szCs w:val="21"/>
              </w:rPr>
            </w:pPr>
          </w:p>
        </w:tc>
        <w:tc>
          <w:tcPr>
            <w:tcW w:w="3261" w:type="dxa"/>
            <w:tcBorders>
              <w:top w:val="single" w:color="auto" w:sz="4" w:space="0"/>
              <w:left w:val="single" w:color="auto" w:sz="4" w:space="0"/>
              <w:bottom w:val="single" w:color="auto" w:sz="4" w:space="0"/>
              <w:right w:val="single" w:color="auto" w:sz="4" w:space="0"/>
            </w:tcBorders>
            <w:noWrap w:val="0"/>
            <w:vAlign w:val="center"/>
          </w:tcPr>
          <w:p w14:paraId="418B7D1B">
            <w:pPr>
              <w:pStyle w:val="21"/>
              <w:rPr>
                <w:color w:val="000000"/>
                <w:szCs w:val="21"/>
              </w:rPr>
            </w:pPr>
            <w:r>
              <w:rPr>
                <w:rFonts w:hint="eastAsia"/>
                <w:color w:val="000000"/>
                <w:szCs w:val="21"/>
              </w:rPr>
              <w:t>各专题环境影响分析与评价</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4C81DE53">
            <w:pPr>
              <w:pStyle w:val="21"/>
              <w:rPr>
                <w:color w:val="000000"/>
                <w:szCs w:val="21"/>
              </w:rPr>
            </w:pPr>
            <w:r>
              <w:rPr>
                <w:rFonts w:hint="eastAsia"/>
                <w:color w:val="000000"/>
                <w:szCs w:val="21"/>
              </w:rPr>
              <w:t>环境风险评价、人群健康风险评价、环境影响经济损益分析、固体废物等环境影响评价</w:t>
            </w:r>
          </w:p>
        </w:tc>
      </w:tr>
      <w:tr w14:paraId="1927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14:paraId="19D0B278">
            <w:pPr>
              <w:pStyle w:val="21"/>
              <w:rPr>
                <w:color w:val="000000"/>
                <w:szCs w:val="21"/>
              </w:rPr>
            </w:pPr>
            <w:r>
              <w:rPr>
                <w:rFonts w:hint="eastAsia"/>
                <w:color w:val="000000"/>
                <w:szCs w:val="21"/>
              </w:rPr>
              <w:t>三</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71C43F61">
            <w:pPr>
              <w:pStyle w:val="21"/>
              <w:rPr>
                <w:color w:val="000000"/>
                <w:szCs w:val="21"/>
              </w:rPr>
            </w:pPr>
            <w:r>
              <w:rPr>
                <w:rFonts w:hint="eastAsia"/>
                <w:color w:val="000000"/>
                <w:szCs w:val="21"/>
              </w:rPr>
              <w:t>提出环境保护措施，进行技术经济论证</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05ACF7B4">
            <w:pPr>
              <w:pStyle w:val="21"/>
              <w:rPr>
                <w:color w:val="000000"/>
                <w:szCs w:val="21"/>
              </w:rPr>
            </w:pPr>
            <w:r>
              <w:rPr>
                <w:rFonts w:hint="eastAsia"/>
                <w:color w:val="000000"/>
                <w:szCs w:val="21"/>
              </w:rPr>
              <w:t>根据工程分析，提出环境保护措施，并进行技术论证环境效益</w:t>
            </w:r>
          </w:p>
        </w:tc>
      </w:tr>
      <w:tr w14:paraId="732D6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6FCF8C83">
            <w:pPr>
              <w:widowControl/>
              <w:jc w:val="left"/>
              <w:rPr>
                <w:color w:val="000000"/>
                <w:szCs w:val="21"/>
              </w:rPr>
            </w:pPr>
          </w:p>
        </w:tc>
        <w:tc>
          <w:tcPr>
            <w:tcW w:w="3261" w:type="dxa"/>
            <w:tcBorders>
              <w:top w:val="single" w:color="auto" w:sz="4" w:space="0"/>
              <w:left w:val="single" w:color="auto" w:sz="4" w:space="0"/>
              <w:bottom w:val="single" w:color="auto" w:sz="4" w:space="0"/>
              <w:right w:val="single" w:color="auto" w:sz="4" w:space="0"/>
            </w:tcBorders>
            <w:noWrap w:val="0"/>
            <w:vAlign w:val="center"/>
          </w:tcPr>
          <w:p w14:paraId="336DEF62">
            <w:pPr>
              <w:pStyle w:val="21"/>
              <w:rPr>
                <w:color w:val="000000"/>
                <w:szCs w:val="21"/>
              </w:rPr>
            </w:pPr>
            <w:r>
              <w:rPr>
                <w:rFonts w:hint="eastAsia"/>
                <w:color w:val="000000"/>
                <w:szCs w:val="21"/>
              </w:rPr>
              <w:t>给出污染物排放清单</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36BF8F76">
            <w:pPr>
              <w:pStyle w:val="21"/>
              <w:rPr>
                <w:color w:val="000000"/>
                <w:szCs w:val="21"/>
              </w:rPr>
            </w:pPr>
            <w:r>
              <w:rPr>
                <w:rFonts w:hint="eastAsia"/>
                <w:color w:val="000000"/>
                <w:szCs w:val="21"/>
              </w:rPr>
              <w:t>根据工程分析，给出污染物排放清单</w:t>
            </w:r>
          </w:p>
        </w:tc>
      </w:tr>
      <w:tr w14:paraId="0451C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1B3A8FAE">
            <w:pPr>
              <w:widowControl/>
              <w:jc w:val="left"/>
              <w:rPr>
                <w:color w:val="000000"/>
                <w:szCs w:val="21"/>
              </w:rPr>
            </w:pPr>
          </w:p>
        </w:tc>
        <w:tc>
          <w:tcPr>
            <w:tcW w:w="3261" w:type="dxa"/>
            <w:tcBorders>
              <w:top w:val="single" w:color="auto" w:sz="4" w:space="0"/>
              <w:left w:val="single" w:color="auto" w:sz="4" w:space="0"/>
              <w:bottom w:val="single" w:color="auto" w:sz="4" w:space="0"/>
              <w:right w:val="single" w:color="auto" w:sz="4" w:space="0"/>
            </w:tcBorders>
            <w:noWrap w:val="0"/>
            <w:vAlign w:val="center"/>
          </w:tcPr>
          <w:p w14:paraId="1C6D0BA8">
            <w:pPr>
              <w:pStyle w:val="21"/>
              <w:rPr>
                <w:color w:val="000000"/>
                <w:szCs w:val="21"/>
              </w:rPr>
            </w:pPr>
            <w:r>
              <w:rPr>
                <w:rFonts w:hint="eastAsia"/>
                <w:color w:val="000000"/>
                <w:szCs w:val="21"/>
              </w:rPr>
              <w:t>给出建设项目环境影响评价结论</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56626653">
            <w:pPr>
              <w:pStyle w:val="21"/>
              <w:rPr>
                <w:color w:val="000000"/>
                <w:szCs w:val="21"/>
              </w:rPr>
            </w:pPr>
            <w:r>
              <w:rPr>
                <w:rFonts w:hint="eastAsia"/>
                <w:color w:val="000000"/>
                <w:szCs w:val="21"/>
              </w:rPr>
              <w:t>根据污染物排放情况、环境保护措施以及各环境要素环境影响预测评价给出建设项目环境影响评价结论</w:t>
            </w:r>
          </w:p>
        </w:tc>
      </w:tr>
    </w:tbl>
    <w:p w14:paraId="714DC77D">
      <w:pPr>
        <w:adjustRightInd w:val="0"/>
        <w:snapToGrid w:val="0"/>
        <w:spacing w:before="120" w:beforeLines="50" w:line="360" w:lineRule="auto"/>
        <w:jc w:val="center"/>
        <w:rPr>
          <w:rFonts w:hint="eastAsia"/>
          <w:color w:val="000000"/>
          <w:sz w:val="24"/>
        </w:rPr>
      </w:pPr>
      <w:r>
        <w:rPr>
          <w:color w:val="000000"/>
          <w:sz w:val="24"/>
        </w:rPr>
        <w:drawing>
          <wp:inline distT="0" distB="0" distL="114300" distR="114300">
            <wp:extent cx="5447030" cy="5723890"/>
            <wp:effectExtent l="0" t="0" r="1270" b="10160"/>
            <wp:docPr id="5" name="图片 2" descr="QQ截图20170306133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QQ截图20170306133918"/>
                    <pic:cNvPicPr>
                      <a:picLocks noChangeAspect="1"/>
                    </pic:cNvPicPr>
                  </pic:nvPicPr>
                  <pic:blipFill>
                    <a:blip r:embed="rId18"/>
                    <a:stretch>
                      <a:fillRect/>
                    </a:stretch>
                  </pic:blipFill>
                  <pic:spPr>
                    <a:xfrm>
                      <a:off x="0" y="0"/>
                      <a:ext cx="5447030" cy="5723890"/>
                    </a:xfrm>
                    <a:prstGeom prst="rect">
                      <a:avLst/>
                    </a:prstGeom>
                    <a:noFill/>
                    <a:ln>
                      <a:noFill/>
                    </a:ln>
                  </pic:spPr>
                </pic:pic>
              </a:graphicData>
            </a:graphic>
          </wp:inline>
        </w:drawing>
      </w:r>
    </w:p>
    <w:p w14:paraId="73D72C39">
      <w:pPr>
        <w:pStyle w:val="22"/>
        <w:numPr>
          <w:ilvl w:val="5"/>
          <w:numId w:val="1"/>
        </w:numPr>
        <w:tabs>
          <w:tab w:val="clear" w:pos="3000"/>
        </w:tabs>
        <w:ind w:left="0"/>
        <w:rPr>
          <w:color w:val="000000"/>
          <w:w w:val="100"/>
          <w:sz w:val="24"/>
          <w:szCs w:val="24"/>
        </w:rPr>
      </w:pPr>
      <w:r>
        <w:rPr>
          <w:rFonts w:hint="eastAsia"/>
          <w:color w:val="000000"/>
          <w:w w:val="100"/>
          <w:sz w:val="24"/>
          <w:szCs w:val="24"/>
        </w:rPr>
        <w:t>环境影响评价工作流程图</w:t>
      </w:r>
    </w:p>
    <w:p w14:paraId="5D2C4B10">
      <w:pPr>
        <w:pStyle w:val="18"/>
        <w:spacing w:before="120" w:beforeLines="50"/>
        <w:rPr>
          <w:color w:val="000000"/>
          <w:sz w:val="28"/>
        </w:rPr>
      </w:pPr>
      <w:bookmarkStart w:id="41" w:name="_Toc17200"/>
      <w:bookmarkStart w:id="42" w:name="_Toc525475138"/>
      <w:bookmarkStart w:id="43" w:name="_Toc19515"/>
      <w:bookmarkStart w:id="44" w:name="_Toc535340375"/>
      <w:r>
        <w:rPr>
          <w:rFonts w:hint="eastAsia"/>
          <w:color w:val="000000"/>
        </w:rPr>
        <w:t>分析判定相关情况</w:t>
      </w:r>
      <w:bookmarkEnd w:id="41"/>
      <w:bookmarkEnd w:id="42"/>
      <w:bookmarkEnd w:id="43"/>
      <w:bookmarkEnd w:id="44"/>
    </w:p>
    <w:p w14:paraId="10288AEA">
      <w:pPr>
        <w:pStyle w:val="16"/>
        <w:ind w:firstLine="480"/>
        <w:rPr>
          <w:snapToGrid w:val="0"/>
          <w:color w:val="000000"/>
        </w:rPr>
      </w:pPr>
      <w:r>
        <w:rPr>
          <w:rFonts w:hint="eastAsia"/>
          <w:snapToGrid w:val="0"/>
          <w:color w:val="000000"/>
        </w:rPr>
        <w:t>我公司在接受委托后，首先通过现场踏勘及相关资料收集，对土地利用规划和城乡总体规划符合性、产业政策符合性、评价类型等几方面进行初步判定。</w:t>
      </w:r>
    </w:p>
    <w:p w14:paraId="4D7C7D22">
      <w:pPr>
        <w:pStyle w:val="16"/>
        <w:numPr>
          <w:ilvl w:val="0"/>
          <w:numId w:val="3"/>
        </w:numPr>
        <w:tabs>
          <w:tab w:val="left" w:pos="0"/>
        </w:tabs>
        <w:ind w:firstLine="482"/>
        <w:rPr>
          <w:rFonts w:hint="eastAsia"/>
          <w:b/>
          <w:bCs/>
          <w:color w:val="000000"/>
        </w:rPr>
      </w:pPr>
      <w:r>
        <w:rPr>
          <w:rFonts w:hint="eastAsia"/>
          <w:b/>
          <w:bCs/>
          <w:color w:val="000000"/>
        </w:rPr>
        <w:t>规划符合型判定</w:t>
      </w:r>
    </w:p>
    <w:p w14:paraId="4A23B549">
      <w:pPr>
        <w:pStyle w:val="16"/>
        <w:ind w:firstLine="480"/>
        <w:rPr>
          <w:rFonts w:hint="eastAsia"/>
          <w:snapToGrid w:val="0"/>
          <w:color w:val="000000"/>
        </w:rPr>
      </w:pPr>
      <w:bookmarkStart w:id="45" w:name="_Hlk53066341"/>
      <w:r>
        <w:rPr>
          <w:rFonts w:hint="eastAsia"/>
          <w:snapToGrid w:val="0"/>
          <w:color w:val="000000"/>
        </w:rPr>
        <w:t>本项目位于兰溪市兰江街道毕家村，为工业污水处理厂建设，纳污范围为兰溪经济开发区兰江工业区（登胜路以北）、兰溪光膜新材料小镇、兰溪市女埠街道工业功能区A区和B区，为兰溪市基础设施配套，项目已取得兰溪市自然资源和规划局出具的兰溪市建设项目选址和用地预审意见（编号：兰选-预字（2023）040号），规划用地性质为排水用地，符合兰溪市城市总体规划。</w:t>
      </w:r>
    </w:p>
    <w:bookmarkEnd w:id="45"/>
    <w:p w14:paraId="0368AFB2">
      <w:pPr>
        <w:pStyle w:val="16"/>
        <w:numPr>
          <w:ilvl w:val="0"/>
          <w:numId w:val="3"/>
        </w:numPr>
        <w:tabs>
          <w:tab w:val="left" w:pos="0"/>
        </w:tabs>
        <w:ind w:firstLine="482"/>
        <w:rPr>
          <w:rFonts w:hint="eastAsia"/>
          <w:b/>
          <w:bCs/>
          <w:color w:val="000000"/>
        </w:rPr>
      </w:pPr>
      <w:r>
        <w:rPr>
          <w:rFonts w:hint="eastAsia"/>
          <w:b/>
          <w:bCs/>
          <w:color w:val="000000"/>
        </w:rPr>
        <w:t>大气环境防护距离判定</w:t>
      </w:r>
    </w:p>
    <w:p w14:paraId="1D1DB7B5">
      <w:pPr>
        <w:pStyle w:val="16"/>
        <w:ind w:firstLine="480"/>
        <w:rPr>
          <w:rFonts w:hint="eastAsia"/>
          <w:snapToGrid w:val="0"/>
          <w:color w:val="000000"/>
        </w:rPr>
      </w:pPr>
      <w:r>
        <w:rPr>
          <w:rFonts w:hint="eastAsia"/>
          <w:snapToGrid w:val="0"/>
          <w:color w:val="000000"/>
        </w:rPr>
        <w:t>根据环评估算结果，本项目无需设置大气环境防护距离。</w:t>
      </w:r>
    </w:p>
    <w:p w14:paraId="5B0927B8">
      <w:pPr>
        <w:pStyle w:val="16"/>
        <w:numPr>
          <w:ilvl w:val="0"/>
          <w:numId w:val="3"/>
        </w:numPr>
        <w:tabs>
          <w:tab w:val="left" w:pos="0"/>
        </w:tabs>
        <w:ind w:firstLine="482"/>
        <w:rPr>
          <w:rFonts w:hint="eastAsia"/>
          <w:b/>
          <w:bCs/>
          <w:color w:val="000000"/>
        </w:rPr>
      </w:pPr>
      <w:r>
        <w:rPr>
          <w:rFonts w:hint="eastAsia"/>
          <w:b/>
          <w:bCs/>
          <w:color w:val="000000"/>
        </w:rPr>
        <w:t>产业政策符合性判定</w:t>
      </w:r>
    </w:p>
    <w:p w14:paraId="6C6E8C4E">
      <w:pPr>
        <w:pStyle w:val="16"/>
        <w:ind w:firstLine="480"/>
        <w:rPr>
          <w:rFonts w:hint="eastAsia"/>
          <w:snapToGrid w:val="0"/>
          <w:color w:val="000000"/>
        </w:rPr>
      </w:pPr>
      <w:r>
        <w:rPr>
          <w:rFonts w:hint="eastAsia"/>
          <w:snapToGrid w:val="0"/>
          <w:color w:val="000000"/>
        </w:rPr>
        <w:t>本项目为兰溪市工业污水处理厂工程，查询《产业结构调整指导目录（2024年本）》，本项目属于鼓励类中“第四十二条 环境保护与资源节约综合利用”中“10 工业“三废”循环利用”，本项目建设符合国家产业政策要求。根据《市场准入负面清单》（2022年版），本项目不在市场准入负面清单内。</w:t>
      </w:r>
    </w:p>
    <w:p w14:paraId="56DFBB80">
      <w:pPr>
        <w:pStyle w:val="16"/>
        <w:numPr>
          <w:ilvl w:val="0"/>
          <w:numId w:val="3"/>
        </w:numPr>
        <w:tabs>
          <w:tab w:val="left" w:pos="0"/>
        </w:tabs>
        <w:ind w:firstLine="482"/>
        <w:rPr>
          <w:rFonts w:hint="eastAsia"/>
          <w:b/>
          <w:bCs/>
          <w:color w:val="000000"/>
        </w:rPr>
      </w:pPr>
      <w:r>
        <w:rPr>
          <w:rFonts w:hint="eastAsia"/>
          <w:b/>
          <w:bCs/>
          <w:color w:val="000000"/>
        </w:rPr>
        <w:t>“三线一单”符合性判定</w:t>
      </w:r>
    </w:p>
    <w:p w14:paraId="0C22D3DA">
      <w:pPr>
        <w:pStyle w:val="16"/>
        <w:numPr>
          <w:ilvl w:val="0"/>
          <w:numId w:val="4"/>
        </w:numPr>
        <w:ind w:firstLine="480"/>
        <w:rPr>
          <w:rFonts w:hint="eastAsia"/>
          <w:color w:val="000000"/>
        </w:rPr>
      </w:pPr>
      <w:r>
        <w:rPr>
          <w:rFonts w:hint="eastAsia"/>
          <w:color w:val="000000"/>
        </w:rPr>
        <w:t>与生态保护红线符合性分析</w:t>
      </w:r>
    </w:p>
    <w:p w14:paraId="6A755CE5">
      <w:pPr>
        <w:pStyle w:val="16"/>
        <w:ind w:firstLine="480"/>
        <w:rPr>
          <w:rFonts w:hint="eastAsia"/>
          <w:snapToGrid w:val="0"/>
          <w:color w:val="000000"/>
        </w:rPr>
      </w:pPr>
      <w:r>
        <w:rPr>
          <w:rFonts w:hint="eastAsia"/>
          <w:snapToGrid w:val="0"/>
          <w:color w:val="000000"/>
        </w:rPr>
        <w:t>根据兰溪市生态保护红线，本项目建设范围与“浙江金华兰溪兰江省级湿地公园生态保护红线”交叉重叠共计1处。根据浙江省人民政府办公厅发布《关于加强生态保护红线监管的实施意见》（浙政办发〔2022〕70号），本项目属于污水处理公共设施建设项目，因此项目属于第五条明确的对生态功能不造成破坏的有限人为活动，属于生态保护红线内允许建设的工程范围</w:t>
      </w:r>
      <w:r>
        <w:rPr>
          <w:rFonts w:hint="eastAsia"/>
          <w:color w:val="000000"/>
        </w:rPr>
        <w:t>（详见附件5）</w:t>
      </w:r>
      <w:r>
        <w:rPr>
          <w:rFonts w:hint="eastAsia"/>
          <w:snapToGrid w:val="0"/>
          <w:color w:val="000000"/>
        </w:rPr>
        <w:t>。</w:t>
      </w:r>
    </w:p>
    <w:p w14:paraId="20CD67B8">
      <w:pPr>
        <w:pStyle w:val="16"/>
        <w:ind w:firstLine="480"/>
        <w:rPr>
          <w:rFonts w:hint="eastAsia"/>
          <w:snapToGrid w:val="0"/>
          <w:color w:val="000000"/>
          <w:lang w:val="en-US" w:eastAsia="zh-CN"/>
        </w:rPr>
      </w:pPr>
      <w:r>
        <w:rPr>
          <w:rFonts w:hint="eastAsia"/>
          <w:snapToGrid w:val="0"/>
          <w:color w:val="000000"/>
          <w:lang w:val="en-US" w:eastAsia="zh-CN"/>
        </w:rPr>
        <w:t>根据《浙江省林业局关于同意兰溪市工业污水处理（尾水排放管）工程穿越兰溪兰江省级湿地公园意见的函》（浙林审字〔2024〕60号）：原则同意兰溪市工业污水处理厂（尾水排放管）工程采用地埋方式穿越兰溪兰江省级湿地公园，长度约100米，位于湿地公园合理利用区。</w:t>
      </w:r>
    </w:p>
    <w:p w14:paraId="714B3C38">
      <w:pPr>
        <w:pStyle w:val="16"/>
        <w:ind w:firstLine="480"/>
        <w:rPr>
          <w:rFonts w:hint="eastAsia"/>
          <w:snapToGrid w:val="0"/>
          <w:color w:val="000000"/>
          <w:lang w:val="en-US" w:eastAsia="zh-CN"/>
        </w:rPr>
      </w:pPr>
      <w:r>
        <w:rPr>
          <w:rFonts w:hint="eastAsia"/>
          <w:snapToGrid w:val="0"/>
          <w:color w:val="000000"/>
          <w:lang w:val="en-US" w:eastAsia="zh-CN"/>
        </w:rPr>
        <w:t>根据兰溪市自然资源和规划局出具的《关于兰溪市工业污水处理厂尾水排放管道涉及生态保护红线的意见》：兰溪市工业污水处理厂项目为我市重大基础设施项目，已列入《兰溪市市域污水工程专项规划》，已取得兰溪市发展和改革局核准批复（兰发改核〔2023</w:t>
      </w:r>
      <w:r>
        <w:rPr>
          <w:rFonts w:hint="eastAsia"/>
          <w:snapToGrid w:val="0"/>
          <w:color w:val="000000"/>
        </w:rPr>
        <w:t>〕</w:t>
      </w:r>
      <w:r>
        <w:rPr>
          <w:rFonts w:hint="eastAsia"/>
          <w:snapToGrid w:val="0"/>
          <w:color w:val="000000"/>
          <w:lang w:val="en-US" w:eastAsia="zh-CN"/>
        </w:rPr>
        <w:t>7号）。该项目的尾水排放管道涉及穿越兰溪市生态保护红线（兰溪兰江省级湿地公园生态保护红线）约100米。同意市建设局方案。请在项目实施中，需符合上级相关要求，并通过减缓及保护措施的实施，维持生态保态功能。</w:t>
      </w:r>
    </w:p>
    <w:p w14:paraId="0C274B65">
      <w:pPr>
        <w:pStyle w:val="16"/>
        <w:ind w:firstLine="480"/>
        <w:rPr>
          <w:rFonts w:hint="eastAsia"/>
          <w:snapToGrid w:val="0"/>
          <w:color w:val="000000"/>
        </w:rPr>
      </w:pPr>
      <w:r>
        <w:rPr>
          <w:rFonts w:hint="eastAsia"/>
          <w:snapToGrid w:val="0"/>
          <w:color w:val="000000"/>
          <w:lang w:eastAsia="zh-CN"/>
        </w:rPr>
        <w:t>目前建设单位已委托编制了《兰溪市工业污水处理厂（尾水排放管）工程对兰溪兰江省级湿地公园生态影响评价报告》、《兰溪市工业污水处理厂涉及生态保护红线不可避让性论证报告》及《兰溪市工业污水处理厂工程入河排污口设置论证报告》，并均已通过专家论证。根据报告和专家意见结论，该项目尾水排放管道涉及穿越生态保护红线确实不可避让，通过减缓及保护措施的实施，能维持生态保护红线区的原有生态功能，属于允许对生态功能不造成破坏的有限人为活动建设项目；对兰溪兰江省级湿地公园建设不会产生相关制约因素，对湿地公园的生态系统功能、景观价值以及公园管理的综合影响相对较小，从生态环境保护角度考虑，工程的建设对湿地的生态影响为轻度、可控。</w:t>
      </w:r>
      <w:r>
        <w:rPr>
          <w:rFonts w:hint="eastAsia"/>
          <w:snapToGrid w:val="0"/>
          <w:color w:val="000000"/>
        </w:rPr>
        <w:t>虑，工程的建设对湿地的生态影响为轻度、可控。因此，本项目建设符合《关于加强生态保护红线监管的实施意见》相关准入要求。</w:t>
      </w:r>
    </w:p>
    <w:p w14:paraId="4A3E7187">
      <w:pPr>
        <w:pStyle w:val="16"/>
        <w:ind w:firstLine="480"/>
        <w:rPr>
          <w:snapToGrid w:val="0"/>
          <w:color w:val="000000"/>
        </w:rPr>
      </w:pPr>
      <w:r>
        <w:rPr>
          <w:rFonts w:hint="eastAsia"/>
          <w:snapToGrid w:val="0"/>
          <w:color w:val="000000"/>
        </w:rPr>
        <w:t>要求建设项目建设过程中落实生态影响评价报告中各项生态保护措施，保护好湿地的生态环境，避免对原有地形地貌的破坏，严格按照本项目、水土保持方案等相关审批要求，切实落实水土保持及“三废”排放、严格控制一类污染物及有毒有害水污染物的排放、施工垃圾处理、开挖回填覆绿等环保措施及生态影响减缓措施等。在落实上述环保措施及生态影响减缓措施的前提下，本项目尾水排入兰江对水生态造成的影响较小，能维持兰江原有的生态功能。</w:t>
      </w:r>
    </w:p>
    <w:p w14:paraId="284B07AB">
      <w:pPr>
        <w:pStyle w:val="16"/>
        <w:numPr>
          <w:ilvl w:val="0"/>
          <w:numId w:val="4"/>
        </w:numPr>
        <w:ind w:firstLine="480"/>
        <w:rPr>
          <w:rFonts w:hint="eastAsia"/>
          <w:color w:val="000000"/>
        </w:rPr>
      </w:pPr>
      <w:r>
        <w:rPr>
          <w:rFonts w:hint="eastAsia"/>
          <w:color w:val="000000"/>
        </w:rPr>
        <w:t>与环境质量底线的相符性分析</w:t>
      </w:r>
    </w:p>
    <w:p w14:paraId="474A7260">
      <w:pPr>
        <w:pStyle w:val="24"/>
        <w:keepNext w:val="0"/>
        <w:keepLines w:val="0"/>
        <w:pageBreakBefore w:val="0"/>
        <w:widowControl w:val="0"/>
        <w:kinsoku/>
        <w:wordWrap/>
        <w:overflowPunct/>
        <w:topLinePunct w:val="0"/>
        <w:autoSpaceDE/>
        <w:autoSpaceDN/>
        <w:bidi w:val="0"/>
        <w:adjustRightInd/>
        <w:snapToGrid/>
        <w:spacing w:before="0" w:line="360" w:lineRule="auto"/>
        <w:ind w:firstLine="480"/>
        <w:textAlignment w:val="auto"/>
        <w:outlineLvl w:val="9"/>
        <w:rPr>
          <w:rFonts w:hint="default" w:ascii="Times New Roman" w:hAnsi="Times New Roman" w:cs="Times New Roman"/>
          <w:color w:val="000000"/>
          <w:sz w:val="24"/>
          <w:highlight w:val="none"/>
        </w:rPr>
      </w:pPr>
      <w:r>
        <w:rPr>
          <w:rFonts w:hint="eastAsia"/>
          <w:snapToGrid w:val="0"/>
          <w:color w:val="000000"/>
          <w:szCs w:val="24"/>
        </w:rPr>
        <w:t>根据环境质量现状监测数据及区域收集数据，本项目区域内环境空气、地下水均能满足相应的环境功能要求；土壤环境质量能满足相应标准要求。</w:t>
      </w:r>
      <w:r>
        <w:rPr>
          <w:rFonts w:hint="eastAsia"/>
          <w:snapToGrid w:val="0"/>
          <w:color w:val="000000"/>
          <w:szCs w:val="24"/>
          <w:lang w:val="en-US" w:eastAsia="zh-CN"/>
        </w:rPr>
        <w:t>本项目排污口上游地表水污染因子中粪大肠菌群为IV类，不能达到《地表水环境质量标准》（GB3838-2002）III类水质标准，上游水质总体评价为IV类，本项目排污口下游水质能满足III类水质标准。上游水质主要超标原因可能是与该区域污水处理厂、污水管网等基础设施建设的滞后及区域内生活废水未经处理直接排放或未达标排放有关。本项目为工业污水处理厂工程，属于城镇基础设施建设，通过本项目的实施，服务范围内更多的城镇、农村地区的生活、工业污水将接入污水处理厂处理，能有效改善环境卫生，清洁流域水体，项目所在区域附近地表水体水环境质量将会恢复至目标等级，水质能逐渐得到改善。</w:t>
      </w:r>
      <w:r>
        <w:rPr>
          <w:rFonts w:hint="eastAsia"/>
          <w:snapToGrid w:val="0"/>
          <w:color w:val="000000"/>
          <w:szCs w:val="24"/>
        </w:rPr>
        <w:t>声</w:t>
      </w:r>
      <w:r>
        <w:rPr>
          <w:rFonts w:hint="eastAsia"/>
          <w:snapToGrid w:val="0"/>
          <w:color w:val="000000"/>
          <w:szCs w:val="24"/>
          <w:lang w:val="en-US" w:eastAsia="zh-CN"/>
        </w:rPr>
        <w:t>环境质量</w:t>
      </w:r>
      <w:r>
        <w:rPr>
          <w:rFonts w:hint="eastAsia"/>
          <w:snapToGrid w:val="0"/>
          <w:color w:val="000000"/>
          <w:szCs w:val="24"/>
        </w:rPr>
        <w:t>现状</w:t>
      </w:r>
      <w:r>
        <w:rPr>
          <w:rFonts w:hint="eastAsia"/>
          <w:color w:val="000000"/>
          <w:kern w:val="0"/>
          <w:sz w:val="24"/>
          <w:szCs w:val="20"/>
          <w:lang w:val="en-US" w:eastAsia="zh-CN"/>
        </w:rPr>
        <w:t>存在超标现象，声环境保护范围内无声环境保护目标</w:t>
      </w:r>
      <w:r>
        <w:rPr>
          <w:color w:val="000000"/>
          <w:kern w:val="0"/>
          <w:sz w:val="24"/>
          <w:szCs w:val="20"/>
        </w:rPr>
        <w:t>。</w:t>
      </w:r>
      <w:r>
        <w:rPr>
          <w:rFonts w:hint="default" w:ascii="Times New Roman" w:hAnsi="Times New Roman" w:cs="Times New Roman"/>
          <w:color w:val="000000"/>
          <w:sz w:val="24"/>
          <w:highlight w:val="none"/>
        </w:rPr>
        <w:t>本</w:t>
      </w:r>
      <w:r>
        <w:rPr>
          <w:rFonts w:hint="eastAsia" w:ascii="Times New Roman" w:hAnsi="Times New Roman" w:cs="Times New Roman"/>
          <w:color w:val="000000"/>
          <w:sz w:val="24"/>
          <w:highlight w:val="none"/>
          <w:lang w:val="en-US" w:eastAsia="zh-CN"/>
        </w:rPr>
        <w:t>项目</w:t>
      </w:r>
      <w:r>
        <w:rPr>
          <w:rFonts w:hint="default" w:ascii="Times New Roman" w:hAnsi="Times New Roman" w:cs="Times New Roman"/>
          <w:color w:val="000000"/>
          <w:sz w:val="24"/>
          <w:highlight w:val="none"/>
        </w:rPr>
        <w:t>通过选用低噪声的施工机械和</w:t>
      </w:r>
      <w:r>
        <w:rPr>
          <w:rFonts w:hint="eastAsia" w:ascii="Times New Roman" w:hAnsi="Times New Roman" w:cs="Times New Roman"/>
          <w:color w:val="000000"/>
          <w:sz w:val="24"/>
          <w:highlight w:val="none"/>
          <w:lang w:val="en-US" w:eastAsia="zh-CN"/>
        </w:rPr>
        <w:t>采取设备隔声、消声、减振、隔声屏障等</w:t>
      </w:r>
      <w:r>
        <w:rPr>
          <w:rFonts w:hint="default" w:ascii="Times New Roman" w:hAnsi="Times New Roman" w:cs="Times New Roman"/>
          <w:color w:val="000000"/>
          <w:sz w:val="24"/>
          <w:highlight w:val="none"/>
        </w:rPr>
        <w:t>施工声环境保护措施</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营运期选用低噪声设备，在风机进出口设消声器，采用柔性橡胶接头连接，较大型机泵类设备加装防振垫片，鼓风机房墙体不设窗口，在门关闭状态下运行等</w:t>
      </w:r>
      <w:r>
        <w:rPr>
          <w:rFonts w:hint="default" w:ascii="Times New Roman" w:hAnsi="Times New Roman" w:cs="Times New Roman"/>
          <w:color w:val="000000"/>
          <w:sz w:val="24"/>
          <w:highlight w:val="none"/>
        </w:rPr>
        <w:t>声环境保护措施</w:t>
      </w:r>
      <w:r>
        <w:rPr>
          <w:rFonts w:hint="eastAsia" w:ascii="Times New Roman" w:hAnsi="Times New Roman" w:cs="Times New Roman"/>
          <w:color w:val="000000"/>
          <w:sz w:val="24"/>
          <w:highlight w:val="none"/>
          <w:lang w:eastAsia="zh-CN"/>
        </w:rPr>
        <w:t>，</w:t>
      </w:r>
      <w:r>
        <w:rPr>
          <w:rFonts w:hint="default" w:ascii="Times New Roman" w:hAnsi="Times New Roman" w:cs="Times New Roman"/>
          <w:color w:val="000000"/>
          <w:sz w:val="24"/>
          <w:highlight w:val="none"/>
        </w:rPr>
        <w:t>能够降低噪声污染，维持区域声环境质量现状。</w:t>
      </w:r>
    </w:p>
    <w:p w14:paraId="1070AF90">
      <w:pPr>
        <w:spacing w:line="360" w:lineRule="auto"/>
        <w:ind w:firstLine="480" w:firstLineChars="200"/>
        <w:jc w:val="left"/>
        <w:rPr>
          <w:rFonts w:hint="eastAsia"/>
          <w:snapToGrid w:val="0"/>
          <w:color w:val="000000"/>
          <w:sz w:val="24"/>
        </w:rPr>
      </w:pPr>
      <w:r>
        <w:rPr>
          <w:rFonts w:hint="eastAsia"/>
          <w:snapToGrid w:val="0"/>
          <w:color w:val="000000"/>
          <w:sz w:val="24"/>
        </w:rPr>
        <w:t>本项目实施后，废气排放对周边大气环境影响不大；</w:t>
      </w:r>
      <w:r>
        <w:rPr>
          <w:rFonts w:hint="eastAsia"/>
          <w:bCs/>
          <w:color w:val="000000"/>
          <w:sz w:val="24"/>
        </w:rPr>
        <w:t>本项目处理后的尾水通过排放口排至附近的兰江，排放量为5万m</w:t>
      </w:r>
      <w:r>
        <w:rPr>
          <w:rFonts w:hint="eastAsia"/>
          <w:bCs/>
          <w:color w:val="000000"/>
          <w:sz w:val="24"/>
          <w:vertAlign w:val="superscript"/>
        </w:rPr>
        <w:t>3</w:t>
      </w:r>
      <w:r>
        <w:rPr>
          <w:rFonts w:hint="eastAsia"/>
          <w:bCs/>
          <w:color w:val="000000"/>
          <w:sz w:val="24"/>
        </w:rPr>
        <w:t>/d，根据预测结果，在正常排放情况下污水外排对兰江水环境影响程度较小</w:t>
      </w:r>
      <w:r>
        <w:rPr>
          <w:rFonts w:hint="eastAsia"/>
          <w:snapToGrid w:val="0"/>
          <w:color w:val="000000"/>
          <w:sz w:val="24"/>
        </w:rPr>
        <w:t>；设备的噪声源强较小，采取防噪措施后厂界噪声可以达到</w:t>
      </w:r>
      <w:r>
        <w:rPr>
          <w:rFonts w:hint="eastAsia"/>
          <w:snapToGrid w:val="0"/>
          <w:color w:val="000000"/>
          <w:sz w:val="24"/>
          <w:lang w:val="en-US" w:eastAsia="zh-CN"/>
        </w:rPr>
        <w:t>1</w:t>
      </w:r>
      <w:r>
        <w:rPr>
          <w:rFonts w:hint="eastAsia"/>
          <w:snapToGrid w:val="0"/>
          <w:color w:val="000000"/>
          <w:sz w:val="24"/>
        </w:rPr>
        <w:t>类标准要求；在严格执行本报告中提出的各项固废处置措施基础上，项目固废均能得到有效处置。本项目新增排污总量经区域替代削减后，可符合总量控制要求。</w:t>
      </w:r>
    </w:p>
    <w:p w14:paraId="4EE2D0C1">
      <w:pPr>
        <w:pStyle w:val="16"/>
        <w:ind w:firstLine="480"/>
        <w:rPr>
          <w:rFonts w:hint="eastAsia"/>
          <w:snapToGrid w:val="0"/>
          <w:color w:val="000000"/>
        </w:rPr>
      </w:pPr>
      <w:r>
        <w:rPr>
          <w:rFonts w:hint="eastAsia"/>
          <w:snapToGrid w:val="0"/>
          <w:color w:val="000000"/>
          <w:szCs w:val="24"/>
        </w:rPr>
        <w:t>因此，本项目建设不会对周围环境造成较大影响，能满足区域环境环境功能区划要求。符合环境质量底线要求。</w:t>
      </w:r>
    </w:p>
    <w:p w14:paraId="189A0712">
      <w:pPr>
        <w:pStyle w:val="16"/>
        <w:numPr>
          <w:ilvl w:val="0"/>
          <w:numId w:val="4"/>
        </w:numPr>
        <w:ind w:firstLine="480"/>
        <w:rPr>
          <w:rFonts w:hint="eastAsia"/>
          <w:color w:val="000000"/>
        </w:rPr>
      </w:pPr>
      <w:r>
        <w:rPr>
          <w:rFonts w:hint="eastAsia"/>
          <w:color w:val="000000"/>
        </w:rPr>
        <w:t>与资源利用上线的相符性分析</w:t>
      </w:r>
    </w:p>
    <w:p w14:paraId="270C3558">
      <w:pPr>
        <w:pStyle w:val="16"/>
        <w:ind w:firstLine="480"/>
        <w:rPr>
          <w:rFonts w:hint="eastAsia"/>
          <w:snapToGrid w:val="0"/>
          <w:color w:val="000000"/>
        </w:rPr>
      </w:pPr>
      <w:r>
        <w:rPr>
          <w:rFonts w:hint="eastAsia"/>
          <w:color w:val="000000"/>
          <w:szCs w:val="24"/>
        </w:rPr>
        <w:t>本项目属于城市基础设施建设项目，项目运行过程中会消耗一定的水资源、电力资源，电力资源和水资源由区域的供电和供水管网。消耗的水资源、电力资源相对区域资源总量较少，不会突破区域的资源利用上线。</w:t>
      </w:r>
    </w:p>
    <w:p w14:paraId="27F534D6">
      <w:pPr>
        <w:pStyle w:val="16"/>
        <w:numPr>
          <w:ilvl w:val="0"/>
          <w:numId w:val="4"/>
        </w:numPr>
        <w:ind w:firstLine="480"/>
        <w:rPr>
          <w:rFonts w:hint="eastAsia"/>
          <w:color w:val="000000"/>
        </w:rPr>
      </w:pPr>
      <w:r>
        <w:rPr>
          <w:rFonts w:hint="eastAsia"/>
          <w:color w:val="000000"/>
        </w:rPr>
        <w:t>与环境准入负面清单的对照</w:t>
      </w:r>
    </w:p>
    <w:p w14:paraId="5249EF78">
      <w:pPr>
        <w:pStyle w:val="16"/>
        <w:ind w:firstLine="480"/>
        <w:rPr>
          <w:rFonts w:hint="eastAsia"/>
          <w:snapToGrid w:val="0"/>
          <w:color w:val="000000"/>
        </w:rPr>
      </w:pPr>
      <w:r>
        <w:rPr>
          <w:rFonts w:hint="eastAsia"/>
          <w:snapToGrid w:val="0"/>
          <w:color w:val="000000"/>
        </w:rPr>
        <w:t>根据《浙江省生态环境厅关于印发&lt;浙江省生态环境分区管控动态更新方案&gt;的通知》（浙环发〔2024〕18号）中“附件：工业项目分类表”相关内容，“输油、输气管线项目，电力、热力生产和供应业，储油储气项目，水的生产和供应业，生态保护和环境治理业等基础设施类工业项目，以及矿产资源开发项目不纳入本工业项目分类表。”，本项目属于公共污水处理设施，属于环境治理业等基础设施类项目，不列入负面清单。</w:t>
      </w:r>
    </w:p>
    <w:p w14:paraId="33F5114A">
      <w:pPr>
        <w:pStyle w:val="16"/>
        <w:ind w:firstLine="480"/>
        <w:rPr>
          <w:rFonts w:hint="eastAsia"/>
          <w:color w:val="000000"/>
        </w:rPr>
      </w:pPr>
      <w:r>
        <w:rPr>
          <w:rFonts w:hint="eastAsia"/>
          <w:snapToGrid w:val="0"/>
          <w:color w:val="000000"/>
        </w:rPr>
        <w:t>因此本项目建设符合“三线一单”的要求。</w:t>
      </w:r>
    </w:p>
    <w:p w14:paraId="01CD528A">
      <w:pPr>
        <w:pStyle w:val="16"/>
        <w:numPr>
          <w:ilvl w:val="0"/>
          <w:numId w:val="3"/>
        </w:numPr>
        <w:tabs>
          <w:tab w:val="left" w:pos="0"/>
        </w:tabs>
        <w:ind w:firstLine="482"/>
        <w:rPr>
          <w:rFonts w:hint="eastAsia"/>
          <w:b/>
          <w:bCs/>
          <w:color w:val="000000"/>
        </w:rPr>
      </w:pPr>
      <w:r>
        <w:rPr>
          <w:rFonts w:hint="eastAsia"/>
          <w:b/>
          <w:bCs/>
          <w:color w:val="000000"/>
        </w:rPr>
        <w:t>兰溪市市域污水工程专项规划符合性</w:t>
      </w:r>
    </w:p>
    <w:p w14:paraId="3F70EE12">
      <w:pPr>
        <w:pStyle w:val="16"/>
        <w:ind w:firstLine="480"/>
        <w:rPr>
          <w:rFonts w:hint="eastAsia"/>
          <w:snapToGrid w:val="0"/>
          <w:color w:val="000000"/>
        </w:rPr>
      </w:pPr>
      <w:r>
        <w:rPr>
          <w:rFonts w:hint="eastAsia"/>
          <w:color w:val="000000"/>
          <w:szCs w:val="24"/>
        </w:rPr>
        <w:t>目前《兰溪市市域污水工程专项规划（2021-2035）》正在修编，根据建设单位提供的资料，修编后的《兰溪市市域污水工程专项规划（2021-2035）》规划期限为2021年至2035年，近期为2025年，远期至2035年，远景展望至2050年，预测中心城区（上华街道及灵洞乡以外）预测远期总污水量约21万m</w:t>
      </w:r>
      <w:r>
        <w:rPr>
          <w:rFonts w:hint="eastAsia"/>
          <w:color w:val="000000"/>
          <w:szCs w:val="24"/>
          <w:vertAlign w:val="superscript"/>
        </w:rPr>
        <w:t>3</w:t>
      </w:r>
      <w:r>
        <w:rPr>
          <w:rFonts w:hint="eastAsia"/>
          <w:color w:val="000000"/>
          <w:szCs w:val="24"/>
        </w:rPr>
        <w:t>/d。规划中明确在兰溪市污水处理厂西侧新建一座工业污水处理厂（规模5万m</w:t>
      </w:r>
      <w:r>
        <w:rPr>
          <w:rFonts w:hint="eastAsia"/>
          <w:color w:val="000000"/>
          <w:szCs w:val="24"/>
          <w:vertAlign w:val="superscript"/>
        </w:rPr>
        <w:t>3</w:t>
      </w:r>
      <w:r>
        <w:rPr>
          <w:rFonts w:hint="eastAsia"/>
          <w:color w:val="000000"/>
          <w:szCs w:val="24"/>
        </w:rPr>
        <w:t>/d），预计2024年底完工，工业污水厂纳污范围内原排入兰溪市污水处理厂的工业废水将纳管排入工业污水厂，近期还将对兰溪城市污水处理进行扩建，扩建后生活污水处理规模达16万m</w:t>
      </w:r>
      <w:r>
        <w:rPr>
          <w:rFonts w:hint="eastAsia"/>
          <w:color w:val="000000"/>
          <w:szCs w:val="24"/>
          <w:vertAlign w:val="superscript"/>
        </w:rPr>
        <w:t>3</w:t>
      </w:r>
      <w:r>
        <w:rPr>
          <w:rFonts w:hint="eastAsia"/>
          <w:color w:val="000000"/>
          <w:szCs w:val="24"/>
        </w:rPr>
        <w:t>/d。因此，本项目的建设规模与建设时序与正在修编的《兰溪市市域污水工程专项规划（2021-2035）》相协调。</w:t>
      </w:r>
    </w:p>
    <w:p w14:paraId="60900020">
      <w:pPr>
        <w:pStyle w:val="18"/>
        <w:rPr>
          <w:color w:val="000000"/>
          <w:sz w:val="28"/>
        </w:rPr>
      </w:pPr>
      <w:bookmarkStart w:id="46" w:name="_Toc5267"/>
      <w:bookmarkStart w:id="47" w:name="_Toc525475139"/>
      <w:bookmarkStart w:id="48" w:name="_Toc535340376"/>
      <w:bookmarkStart w:id="49" w:name="_Toc2443"/>
      <w:r>
        <w:rPr>
          <w:rFonts w:hint="eastAsia"/>
          <w:color w:val="000000"/>
        </w:rPr>
        <w:t>关注的主要环境问题</w:t>
      </w:r>
      <w:bookmarkEnd w:id="46"/>
      <w:bookmarkEnd w:id="47"/>
      <w:bookmarkEnd w:id="48"/>
      <w:bookmarkEnd w:id="49"/>
    </w:p>
    <w:bookmarkEnd w:id="38"/>
    <w:bookmarkEnd w:id="39"/>
    <w:p w14:paraId="69EDCFA0">
      <w:pPr>
        <w:pStyle w:val="16"/>
        <w:numPr>
          <w:ilvl w:val="0"/>
          <w:numId w:val="5"/>
        </w:numPr>
        <w:tabs>
          <w:tab w:val="left" w:pos="0"/>
        </w:tabs>
        <w:ind w:firstLine="482"/>
        <w:rPr>
          <w:rFonts w:hint="eastAsia"/>
          <w:b/>
          <w:bCs/>
          <w:color w:val="000000"/>
        </w:rPr>
      </w:pPr>
      <w:bookmarkStart w:id="50" w:name="_Toc525475140"/>
      <w:r>
        <w:rPr>
          <w:rFonts w:hint="eastAsia"/>
          <w:b/>
          <w:bCs/>
          <w:color w:val="000000"/>
        </w:rPr>
        <w:t>废气方面</w:t>
      </w:r>
    </w:p>
    <w:p w14:paraId="60D35733">
      <w:pPr>
        <w:pStyle w:val="16"/>
        <w:ind w:firstLine="480"/>
        <w:rPr>
          <w:rFonts w:hint="eastAsia"/>
          <w:color w:val="000000"/>
        </w:rPr>
      </w:pPr>
      <w:r>
        <w:rPr>
          <w:rFonts w:hint="eastAsia"/>
          <w:color w:val="000000"/>
        </w:rPr>
        <w:t>关注项目污水和污泥处理构筑物产生的废气对周围环境的影响，重点关注项目恶臭污染源强及治理措施，评价污染物排放对区域环境的影响程度。</w:t>
      </w:r>
    </w:p>
    <w:p w14:paraId="68BF298F">
      <w:pPr>
        <w:pStyle w:val="16"/>
        <w:numPr>
          <w:ilvl w:val="0"/>
          <w:numId w:val="5"/>
        </w:numPr>
        <w:tabs>
          <w:tab w:val="left" w:pos="0"/>
        </w:tabs>
        <w:ind w:firstLine="482"/>
        <w:rPr>
          <w:rFonts w:hint="eastAsia"/>
          <w:b/>
          <w:bCs/>
          <w:color w:val="000000"/>
        </w:rPr>
      </w:pPr>
      <w:r>
        <w:rPr>
          <w:rFonts w:hint="eastAsia"/>
          <w:b/>
          <w:bCs/>
          <w:color w:val="000000"/>
        </w:rPr>
        <w:t>废水方面</w:t>
      </w:r>
    </w:p>
    <w:p w14:paraId="4E936BBA">
      <w:pPr>
        <w:pStyle w:val="16"/>
        <w:ind w:firstLine="480"/>
        <w:rPr>
          <w:color w:val="000000"/>
        </w:rPr>
      </w:pPr>
      <w:r>
        <w:rPr>
          <w:rFonts w:hint="eastAsia"/>
          <w:color w:val="000000"/>
        </w:rPr>
        <w:t>本项目实施后虽然削减了区域总体污染排放量，但对受纳尾水排放的局部水环境可能带来影响，因此，需结合排放口受纳河流功能及下游控制断面进行分析，并对排放口附近水质进行预测分析。</w:t>
      </w:r>
    </w:p>
    <w:p w14:paraId="0FA66661">
      <w:pPr>
        <w:pStyle w:val="16"/>
        <w:numPr>
          <w:ilvl w:val="0"/>
          <w:numId w:val="5"/>
        </w:numPr>
        <w:tabs>
          <w:tab w:val="left" w:pos="0"/>
        </w:tabs>
        <w:ind w:firstLine="482"/>
        <w:rPr>
          <w:rFonts w:hint="eastAsia"/>
          <w:b/>
          <w:bCs/>
          <w:color w:val="000000"/>
        </w:rPr>
      </w:pPr>
      <w:r>
        <w:rPr>
          <w:rFonts w:hint="eastAsia"/>
          <w:b/>
          <w:bCs/>
          <w:color w:val="000000"/>
        </w:rPr>
        <w:t>噪声方面</w:t>
      </w:r>
    </w:p>
    <w:p w14:paraId="17C211AA">
      <w:pPr>
        <w:pStyle w:val="16"/>
        <w:ind w:firstLine="480"/>
        <w:rPr>
          <w:color w:val="000000"/>
        </w:rPr>
      </w:pPr>
      <w:r>
        <w:rPr>
          <w:color w:val="000000"/>
        </w:rPr>
        <w:t>关注项目生产运营后厂界噪声达标可行性。</w:t>
      </w:r>
    </w:p>
    <w:p w14:paraId="7BA99F2B">
      <w:pPr>
        <w:pStyle w:val="16"/>
        <w:numPr>
          <w:ilvl w:val="0"/>
          <w:numId w:val="5"/>
        </w:numPr>
        <w:tabs>
          <w:tab w:val="left" w:pos="0"/>
        </w:tabs>
        <w:ind w:firstLine="482"/>
        <w:rPr>
          <w:rFonts w:hint="eastAsia"/>
          <w:b/>
          <w:bCs/>
          <w:color w:val="000000"/>
        </w:rPr>
      </w:pPr>
      <w:r>
        <w:rPr>
          <w:rFonts w:hint="eastAsia"/>
          <w:b/>
          <w:bCs/>
          <w:color w:val="000000"/>
        </w:rPr>
        <w:t>固废方面</w:t>
      </w:r>
    </w:p>
    <w:p w14:paraId="2558265E">
      <w:pPr>
        <w:pStyle w:val="16"/>
        <w:ind w:firstLine="480"/>
        <w:rPr>
          <w:color w:val="000000"/>
        </w:rPr>
      </w:pPr>
      <w:r>
        <w:rPr>
          <w:color w:val="000000"/>
        </w:rPr>
        <w:t>关注各固废的处置措施和暂存区设置。</w:t>
      </w:r>
    </w:p>
    <w:p w14:paraId="4B21934A">
      <w:pPr>
        <w:pStyle w:val="16"/>
        <w:numPr>
          <w:ilvl w:val="0"/>
          <w:numId w:val="5"/>
        </w:numPr>
        <w:tabs>
          <w:tab w:val="left" w:pos="0"/>
        </w:tabs>
        <w:ind w:firstLine="482"/>
        <w:rPr>
          <w:rFonts w:hint="eastAsia"/>
          <w:b/>
          <w:bCs/>
          <w:color w:val="000000"/>
        </w:rPr>
      </w:pPr>
      <w:r>
        <w:rPr>
          <w:rFonts w:hint="eastAsia"/>
          <w:b/>
          <w:bCs/>
          <w:color w:val="000000"/>
        </w:rPr>
        <w:t>土壤和地下水方面</w:t>
      </w:r>
    </w:p>
    <w:p w14:paraId="31FF916F">
      <w:pPr>
        <w:pStyle w:val="16"/>
        <w:ind w:firstLine="480"/>
        <w:rPr>
          <w:color w:val="000000"/>
        </w:rPr>
      </w:pPr>
      <w:r>
        <w:rPr>
          <w:rFonts w:hint="eastAsia"/>
          <w:color w:val="000000"/>
        </w:rPr>
        <w:t>关注项目重点区域的防渗措施和要求，避免污染物进入地下水和土壤。</w:t>
      </w:r>
    </w:p>
    <w:p w14:paraId="4F425F74">
      <w:pPr>
        <w:pStyle w:val="16"/>
        <w:numPr>
          <w:ilvl w:val="0"/>
          <w:numId w:val="5"/>
        </w:numPr>
        <w:tabs>
          <w:tab w:val="left" w:pos="0"/>
        </w:tabs>
        <w:ind w:firstLine="482"/>
        <w:rPr>
          <w:rFonts w:hint="eastAsia"/>
          <w:b/>
          <w:bCs/>
          <w:color w:val="000000"/>
        </w:rPr>
      </w:pPr>
      <w:r>
        <w:rPr>
          <w:rFonts w:hint="eastAsia"/>
          <w:b/>
          <w:bCs/>
          <w:color w:val="000000"/>
        </w:rPr>
        <w:t>环境风险</w:t>
      </w:r>
    </w:p>
    <w:p w14:paraId="41A3EF09">
      <w:pPr>
        <w:pStyle w:val="16"/>
        <w:ind w:firstLine="480"/>
        <w:rPr>
          <w:color w:val="000000"/>
        </w:rPr>
      </w:pPr>
      <w:r>
        <w:rPr>
          <w:rFonts w:hint="eastAsia"/>
          <w:color w:val="000000"/>
        </w:rPr>
        <w:t>重点关注厂区风险应急处理措施可行性。</w:t>
      </w:r>
    </w:p>
    <w:p w14:paraId="66B2B2FF">
      <w:pPr>
        <w:pStyle w:val="18"/>
        <w:rPr>
          <w:color w:val="000000"/>
          <w:sz w:val="28"/>
        </w:rPr>
      </w:pPr>
      <w:bookmarkStart w:id="51" w:name="_Toc17427"/>
      <w:bookmarkStart w:id="52" w:name="_Toc535340377"/>
      <w:bookmarkStart w:id="53" w:name="_Toc12100"/>
      <w:r>
        <w:rPr>
          <w:rFonts w:hint="eastAsia"/>
          <w:color w:val="000000"/>
        </w:rPr>
        <w:t>环境影响评价的主要结论</w:t>
      </w:r>
      <w:bookmarkEnd w:id="50"/>
      <w:bookmarkEnd w:id="51"/>
      <w:bookmarkEnd w:id="52"/>
      <w:bookmarkEnd w:id="53"/>
    </w:p>
    <w:p w14:paraId="3AD6836E">
      <w:pPr>
        <w:pStyle w:val="16"/>
        <w:ind w:firstLine="480"/>
        <w:rPr>
          <w:rFonts w:hint="eastAsia"/>
          <w:snapToGrid w:val="0"/>
          <w:color w:val="000000"/>
          <w:lang w:val="en-US" w:eastAsia="zh-CN"/>
        </w:rPr>
      </w:pPr>
      <w:r>
        <w:rPr>
          <w:rFonts w:hint="eastAsia"/>
          <w:color w:val="000000"/>
        </w:rPr>
        <w:t>本项目选址位于兰溪市兰江街道毕家村，</w:t>
      </w:r>
      <w:r>
        <w:rPr>
          <w:rFonts w:hint="eastAsia"/>
          <w:color w:val="000000"/>
          <w:lang w:val="en-US" w:eastAsia="zh-CN"/>
        </w:rPr>
        <w:t>经对照分析，</w:t>
      </w:r>
      <w:r>
        <w:rPr>
          <w:rFonts w:hint="eastAsia"/>
          <w:color w:val="000000"/>
        </w:rPr>
        <w:t>符合</w:t>
      </w:r>
      <w:r>
        <w:rPr>
          <w:rFonts w:hint="eastAsia"/>
          <w:snapToGrid w:val="0"/>
          <w:color w:val="000000"/>
        </w:rPr>
        <w:t>兰溪市生态保护红线</w:t>
      </w:r>
      <w:r>
        <w:rPr>
          <w:rFonts w:hint="eastAsia"/>
          <w:snapToGrid w:val="0"/>
          <w:color w:val="000000"/>
          <w:lang w:eastAsia="zh-CN"/>
        </w:rPr>
        <w:t>、</w:t>
      </w:r>
      <w:r>
        <w:rPr>
          <w:rFonts w:hint="eastAsia"/>
          <w:snapToGrid w:val="0"/>
          <w:color w:val="000000"/>
          <w:lang w:val="en-US" w:eastAsia="zh-CN"/>
        </w:rPr>
        <w:t>环境质量底线、资源利用上线和生态环境准入清单管控要求，符合</w:t>
      </w:r>
      <w:r>
        <w:rPr>
          <w:rFonts w:hint="eastAsia"/>
          <w:color w:val="000000"/>
        </w:rPr>
        <w:t>兰溪市环境功能区规划、《兰溪市城市总体规划》（2004-2025年）</w:t>
      </w:r>
      <w:r>
        <w:rPr>
          <w:rFonts w:hint="eastAsia"/>
          <w:color w:val="000000"/>
          <w:lang w:eastAsia="zh-CN"/>
        </w:rPr>
        <w:t>、《兰溪市市域污水工程专项规划》（2021-2035）</w:t>
      </w:r>
      <w:r>
        <w:rPr>
          <w:rFonts w:hint="eastAsia"/>
          <w:color w:val="000000"/>
          <w:lang w:val="en-US" w:eastAsia="zh-CN"/>
        </w:rPr>
        <w:t>相关要求</w:t>
      </w:r>
      <w:r>
        <w:rPr>
          <w:rFonts w:hint="eastAsia"/>
          <w:color w:val="000000"/>
          <w:lang w:eastAsia="zh-CN"/>
        </w:rPr>
        <w:t>，</w:t>
      </w:r>
      <w:r>
        <w:rPr>
          <w:rFonts w:hint="eastAsia"/>
          <w:snapToGrid w:val="0"/>
          <w:color w:val="000000"/>
        </w:rPr>
        <w:t>符合国家产业政策要求</w:t>
      </w:r>
      <w:r>
        <w:rPr>
          <w:rFonts w:hint="eastAsia"/>
          <w:snapToGrid w:val="0"/>
          <w:color w:val="000000"/>
          <w:lang w:eastAsia="zh-CN"/>
        </w:rPr>
        <w:t>，</w:t>
      </w:r>
      <w:r>
        <w:rPr>
          <w:rFonts w:hint="eastAsia"/>
          <w:snapToGrid w:val="0"/>
          <w:color w:val="000000"/>
        </w:rPr>
        <w:t>符合《建设项目环境保护管理条例》（国务院令第682号）“四性五不批”要求</w:t>
      </w:r>
      <w:r>
        <w:rPr>
          <w:rFonts w:hint="eastAsia"/>
          <w:snapToGrid w:val="0"/>
          <w:color w:val="000000"/>
          <w:lang w:val="en-US" w:eastAsia="zh-CN"/>
        </w:rPr>
        <w:t>。</w:t>
      </w:r>
    </w:p>
    <w:p w14:paraId="53151A73">
      <w:pPr>
        <w:pStyle w:val="16"/>
        <w:ind w:firstLine="480"/>
        <w:rPr>
          <w:rFonts w:hint="eastAsia"/>
          <w:color w:val="000000"/>
        </w:rPr>
      </w:pPr>
      <w:r>
        <w:rPr>
          <w:rFonts w:hint="eastAsia"/>
          <w:snapToGrid w:val="0"/>
          <w:color w:val="000000"/>
          <w:lang w:val="en-US" w:eastAsia="zh-CN"/>
        </w:rPr>
        <w:t>本项目</w:t>
      </w:r>
      <w:r>
        <w:rPr>
          <w:rFonts w:hint="eastAsia"/>
          <w:color w:val="000000"/>
        </w:rPr>
        <w:t>排气筒恶臭污染物</w:t>
      </w:r>
      <w:r>
        <w:rPr>
          <w:rFonts w:hint="eastAsia" w:ascii="宋体" w:hAnsi="宋体"/>
          <w:color w:val="000000"/>
        </w:rPr>
        <w:t>（氨</w:t>
      </w:r>
      <w:r>
        <w:rPr>
          <w:rFonts w:ascii="宋体" w:hAnsi="宋体"/>
          <w:color w:val="000000"/>
        </w:rPr>
        <w:t>、硫化氢、臭气浓度</w:t>
      </w:r>
      <w:r>
        <w:rPr>
          <w:rFonts w:hint="eastAsia" w:ascii="宋体" w:hAnsi="宋体"/>
          <w:color w:val="000000"/>
        </w:rPr>
        <w:t>）</w:t>
      </w:r>
      <w:r>
        <w:rPr>
          <w:rFonts w:hint="eastAsia"/>
          <w:color w:val="000000"/>
          <w:lang w:val="en-US" w:eastAsia="zh-CN"/>
        </w:rPr>
        <w:t>满足</w:t>
      </w:r>
      <w:r>
        <w:rPr>
          <w:rFonts w:hint="eastAsia"/>
          <w:color w:val="000000"/>
        </w:rPr>
        <w:t>《恶臭污染物排放标准》（GB14554-93）</w:t>
      </w:r>
      <w:r>
        <w:rPr>
          <w:rFonts w:hint="eastAsia"/>
          <w:color w:val="000000"/>
          <w:lang w:val="en-US" w:eastAsia="zh-CN"/>
        </w:rPr>
        <w:t>排放要求</w:t>
      </w:r>
      <w:r>
        <w:rPr>
          <w:rFonts w:hint="eastAsia"/>
          <w:color w:val="000000"/>
        </w:rPr>
        <w:t>，厂界恶臭污染物</w:t>
      </w:r>
      <w:r>
        <w:rPr>
          <w:rFonts w:hint="eastAsia" w:ascii="宋体" w:hAnsi="宋体"/>
          <w:color w:val="000000"/>
        </w:rPr>
        <w:t>（氨</w:t>
      </w:r>
      <w:r>
        <w:rPr>
          <w:rFonts w:ascii="宋体" w:hAnsi="宋体"/>
          <w:color w:val="000000"/>
        </w:rPr>
        <w:t>、硫化氢、臭气浓度</w:t>
      </w:r>
      <w:r>
        <w:rPr>
          <w:rFonts w:hint="eastAsia" w:ascii="宋体" w:hAnsi="宋体"/>
          <w:color w:val="000000"/>
        </w:rPr>
        <w:t>）</w:t>
      </w:r>
      <w:r>
        <w:rPr>
          <w:rFonts w:hint="eastAsia"/>
          <w:color w:val="000000"/>
          <w:lang w:val="en-US" w:eastAsia="zh-CN"/>
        </w:rPr>
        <w:t>满足</w:t>
      </w:r>
      <w:r>
        <w:rPr>
          <w:rFonts w:hint="eastAsia"/>
          <w:color w:val="000000"/>
        </w:rPr>
        <w:t>《城镇污水处理厂污染物排放标准》（GB18918-2002）中二级标准</w:t>
      </w:r>
      <w:r>
        <w:rPr>
          <w:rFonts w:hint="eastAsia"/>
          <w:color w:val="000000"/>
          <w:lang w:eastAsia="zh-CN"/>
        </w:rPr>
        <w:t>；</w:t>
      </w:r>
      <w:r>
        <w:rPr>
          <w:rFonts w:hint="eastAsia"/>
          <w:color w:val="000000"/>
          <w:lang w:val="en-US" w:eastAsia="zh-CN"/>
        </w:rPr>
        <w:t>废水污染物</w:t>
      </w:r>
      <w:r>
        <w:rPr>
          <w:rFonts w:hint="eastAsia"/>
          <w:color w:val="000000"/>
          <w:lang w:eastAsia="zh-CN"/>
        </w:rPr>
        <w:t>排放</w:t>
      </w:r>
      <w:r>
        <w:rPr>
          <w:rFonts w:hint="eastAsia"/>
          <w:color w:val="000000"/>
          <w:lang w:val="en-US" w:eastAsia="zh-CN"/>
        </w:rPr>
        <w:t>满足</w:t>
      </w:r>
      <w:r>
        <w:rPr>
          <w:rFonts w:hint="eastAsia"/>
          <w:color w:val="000000"/>
          <w:lang w:eastAsia="zh-CN"/>
        </w:rPr>
        <w:t>《城镇污水处理厂污染物排放标准》（GB18918-2002）一级A标准；</w:t>
      </w:r>
      <w:r>
        <w:rPr>
          <w:rFonts w:hint="eastAsia"/>
          <w:color w:val="000000"/>
        </w:rPr>
        <w:t>运行期厂界噪声排放</w:t>
      </w:r>
      <w:r>
        <w:rPr>
          <w:rFonts w:hint="eastAsia"/>
          <w:color w:val="000000"/>
          <w:lang w:val="en-US" w:eastAsia="zh-CN"/>
        </w:rPr>
        <w:t>满足</w:t>
      </w:r>
      <w:r>
        <w:rPr>
          <w:rFonts w:hint="eastAsia"/>
          <w:color w:val="000000"/>
        </w:rPr>
        <w:t>《工业企业厂界环境噪声排放标准》（</w:t>
      </w:r>
      <w:r>
        <w:rPr>
          <w:color w:val="000000"/>
        </w:rPr>
        <w:t>GB12348-2008</w:t>
      </w:r>
      <w:r>
        <w:rPr>
          <w:rFonts w:hint="eastAsia"/>
          <w:color w:val="000000"/>
        </w:rPr>
        <w:t>）中</w:t>
      </w:r>
      <w:r>
        <w:rPr>
          <w:rFonts w:hint="eastAsia"/>
          <w:color w:val="000000"/>
          <w:lang w:val="en-US" w:eastAsia="zh-CN"/>
        </w:rPr>
        <w:t>1</w:t>
      </w:r>
      <w:r>
        <w:rPr>
          <w:rFonts w:hint="eastAsia"/>
          <w:color w:val="000000"/>
        </w:rPr>
        <w:t>类标准。</w:t>
      </w:r>
      <w:r>
        <w:rPr>
          <w:rFonts w:hint="eastAsia"/>
          <w:snapToGrid w:val="0"/>
          <w:color w:val="000000"/>
          <w:lang w:val="en-US" w:eastAsia="zh-CN"/>
        </w:rPr>
        <w:t>本项目新增污染物排放量：COD</w:t>
      </w:r>
      <w:r>
        <w:rPr>
          <w:rFonts w:hint="eastAsia"/>
          <w:snapToGrid w:val="0"/>
          <w:color w:val="000000"/>
          <w:vertAlign w:val="subscript"/>
          <w:lang w:val="en-US" w:eastAsia="zh-CN"/>
        </w:rPr>
        <w:t>Cr</w:t>
      </w:r>
      <w:r>
        <w:rPr>
          <w:rFonts w:hint="eastAsia"/>
          <w:snapToGrid w:val="0"/>
          <w:color w:val="000000"/>
          <w:lang w:val="en-US" w:eastAsia="zh-CN"/>
        </w:rPr>
        <w:t>912.5t/a、NH</w:t>
      </w:r>
      <w:r>
        <w:rPr>
          <w:rFonts w:hint="eastAsia"/>
          <w:snapToGrid w:val="0"/>
          <w:color w:val="000000"/>
          <w:vertAlign w:val="subscript"/>
          <w:lang w:val="en-US" w:eastAsia="zh-CN"/>
        </w:rPr>
        <w:t>3</w:t>
      </w:r>
      <w:r>
        <w:rPr>
          <w:rFonts w:hint="eastAsia"/>
          <w:snapToGrid w:val="0"/>
          <w:color w:val="000000"/>
          <w:lang w:val="en-US" w:eastAsia="zh-CN"/>
        </w:rPr>
        <w:t>-N91.25t/a，项目新增污染物COD</w:t>
      </w:r>
      <w:r>
        <w:rPr>
          <w:rFonts w:hint="eastAsia"/>
          <w:snapToGrid w:val="0"/>
          <w:color w:val="000000"/>
          <w:vertAlign w:val="subscript"/>
          <w:lang w:val="en-US" w:eastAsia="zh-CN"/>
        </w:rPr>
        <w:t>Cr</w:t>
      </w:r>
      <w:r>
        <w:rPr>
          <w:rFonts w:hint="eastAsia"/>
          <w:snapToGrid w:val="0"/>
          <w:color w:val="000000"/>
          <w:lang w:val="en-US" w:eastAsia="zh-CN"/>
        </w:rPr>
        <w:t>、NH</w:t>
      </w:r>
      <w:r>
        <w:rPr>
          <w:rFonts w:hint="eastAsia"/>
          <w:snapToGrid w:val="0"/>
          <w:color w:val="000000"/>
          <w:vertAlign w:val="subscript"/>
          <w:lang w:val="en-US" w:eastAsia="zh-CN"/>
        </w:rPr>
        <w:t>3</w:t>
      </w:r>
      <w:r>
        <w:rPr>
          <w:rFonts w:hint="eastAsia"/>
          <w:snapToGrid w:val="0"/>
          <w:color w:val="000000"/>
          <w:lang w:val="en-US" w:eastAsia="zh-CN"/>
        </w:rPr>
        <w:t>-N总量控制指标均可区域内削减，符合重点污染物排放总量控制要求。</w:t>
      </w:r>
    </w:p>
    <w:p w14:paraId="6656F82E">
      <w:pPr>
        <w:pStyle w:val="16"/>
        <w:ind w:firstLine="480"/>
        <w:rPr>
          <w:rFonts w:hint="eastAsia"/>
          <w:color w:val="000000"/>
        </w:rPr>
      </w:pPr>
      <w:r>
        <w:rPr>
          <w:rFonts w:hint="eastAsia"/>
          <w:color w:val="000000"/>
        </w:rPr>
        <w:t>根据《兰溪市工业污水处理厂（尾水排放管）工程对兰溪兰江省级湿地公园生态影响评价报告》，项目建设属于对生态功能不造成破坏的有限人为活动，符合《关于加强生态保护红线监管的实施意见》相关准入要求，符合《浙江省湿地保护条例》相关规定，不存在《浙江省湿地保护条例》中规定的禁止行为，</w:t>
      </w:r>
    </w:p>
    <w:p w14:paraId="2EED2BB6">
      <w:pPr>
        <w:pStyle w:val="16"/>
        <w:ind w:firstLine="480"/>
        <w:rPr>
          <w:rFonts w:hint="eastAsia"/>
          <w:color w:val="000000"/>
        </w:rPr>
      </w:pPr>
      <w:r>
        <w:rPr>
          <w:rFonts w:hint="eastAsia"/>
          <w:color w:val="000000"/>
        </w:rPr>
        <w:t>本项目为污水处理工程，符合国家及地方的</w:t>
      </w:r>
      <w:r>
        <w:rPr>
          <w:rFonts w:hint="eastAsia"/>
          <w:color w:val="000000"/>
          <w:lang w:val="en-US" w:eastAsia="zh-CN"/>
        </w:rPr>
        <w:t>规划及</w:t>
      </w:r>
      <w:r>
        <w:rPr>
          <w:rFonts w:hint="eastAsia"/>
          <w:color w:val="000000"/>
        </w:rPr>
        <w:t>产业政策；</w:t>
      </w:r>
      <w:r>
        <w:rPr>
          <w:rFonts w:hint="eastAsia"/>
          <w:snapToGrid w:val="0"/>
          <w:color w:val="000000"/>
        </w:rPr>
        <w:t>本项目</w:t>
      </w:r>
      <w:r>
        <w:rPr>
          <w:rFonts w:hint="eastAsia"/>
          <w:snapToGrid w:val="0"/>
          <w:color w:val="000000"/>
          <w:lang w:val="en-US" w:eastAsia="zh-CN"/>
        </w:rPr>
        <w:t>实施后</w:t>
      </w:r>
      <w:r>
        <w:rPr>
          <w:rFonts w:hint="eastAsia"/>
          <w:snapToGrid w:val="0"/>
          <w:color w:val="000000"/>
        </w:rPr>
        <w:t>不触及环境质量底线</w:t>
      </w:r>
      <w:r>
        <w:rPr>
          <w:rFonts w:hint="eastAsia"/>
          <w:snapToGrid w:val="0"/>
          <w:color w:val="000000"/>
          <w:lang w:eastAsia="zh-CN"/>
        </w:rPr>
        <w:t>，</w:t>
      </w:r>
      <w:r>
        <w:rPr>
          <w:rFonts w:hint="eastAsia"/>
          <w:snapToGrid w:val="0"/>
          <w:color w:val="000000"/>
          <w:lang w:val="en-US" w:eastAsia="zh-CN"/>
        </w:rPr>
        <w:t>能</w:t>
      </w:r>
      <w:r>
        <w:rPr>
          <w:rFonts w:hint="default" w:ascii="Times New Roman" w:hAnsi="Times New Roman" w:cs="Times New Roman"/>
          <w:color w:val="000000"/>
          <w:sz w:val="24"/>
          <w:highlight w:val="none"/>
        </w:rPr>
        <w:t>维持区域环境质量现状</w:t>
      </w:r>
      <w:r>
        <w:rPr>
          <w:rFonts w:hint="eastAsia"/>
          <w:color w:val="000000"/>
        </w:rPr>
        <w:t>。本项目装备技术水平基本能满足清洁产生要求，落实本环评提出的各项污染防治措施后污染物均能达标排放；根据对项目排放的废水、废气、噪声及固废等进行预测评价结果，在落实本次环评提出的各项治理措施后，项目各类污染物可以做到正常达标排放，对周围环境影响不大，对于改善兰溪水质具有正效益。</w:t>
      </w:r>
      <w:r>
        <w:rPr>
          <w:rFonts w:hint="eastAsia"/>
          <w:bCs/>
          <w:color w:val="000000"/>
          <w:sz w:val="24"/>
        </w:rPr>
        <w:t>本项目不存在重大危险源，涉及的有毒有害物料具有潜在事故风险，企业要从建设、生产、储运等多方面积极采取防护措施，加强风险管理，通过相应的技术手段降低风险发生概率，应按照《危险化学品事故应急救援预案编制导则（单位版）》（安监管危化字〔2004〕43号）以及《浙江省企业突发环境事件应急预案编制导则的要求》编制应急预案。在风险事故发生后，事故排放对周边地表水水环境影响程度较大，应及时采取风险应急措施，可以使风险事故对环境的影响得到有效控制，将事故风险控制在可以接受的范围内。</w:t>
      </w:r>
    </w:p>
    <w:p w14:paraId="28D8ADEC">
      <w:pPr>
        <w:pStyle w:val="16"/>
        <w:ind w:firstLine="480"/>
        <w:rPr>
          <w:rFonts w:hint="eastAsia"/>
          <w:color w:val="000000"/>
        </w:rPr>
      </w:pPr>
      <w:r>
        <w:rPr>
          <w:rFonts w:hint="eastAsia"/>
          <w:color w:val="000000"/>
        </w:rPr>
        <w:t>建设单位切实落实环评提出各项污染治理措施，加强环保管理，确保污染物稳定达标排放，将项目对周边环境的影响降至最低。从环保角度而言，本项目在选定厂址内实施是可行的。</w:t>
      </w:r>
    </w:p>
    <w:p w14:paraId="2AAC8DCD">
      <w:bookmarkStart w:id="54" w:name="_GoBack"/>
      <w:bookmarkEnd w:id="5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iger Expert">
    <w:altName w:val="Courier New"/>
    <w:panose1 w:val="00000000000000000000"/>
    <w:charset w:val="00"/>
    <w:family w:val="roman"/>
    <w:pitch w:val="default"/>
    <w:sig w:usb0="00000000" w:usb1="00000000" w:usb2="00000000" w:usb3="00000000" w:csb0="0000019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3AD31">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4458C">
    <w:pPr>
      <w:pStyle w:val="8"/>
      <w:framePr w:wrap="around" w:vAnchor="text" w:hAnchor="margin" w:xAlign="center" w:y="1"/>
      <w:ind w:firstLine="360"/>
    </w:pPr>
    <w:r>
      <w:fldChar w:fldCharType="begin"/>
    </w:r>
    <w:r>
      <w:instrText xml:space="preserve">PAGE  </w:instrText>
    </w:r>
    <w:r>
      <w:fldChar w:fldCharType="end"/>
    </w:r>
  </w:p>
  <w:p w14:paraId="3C042A86">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78530">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AF169">
    <w:pPr>
      <w:pStyle w:val="8"/>
      <w:pBdr>
        <w:top w:val="single" w:color="auto" w:sz="4" w:space="1"/>
      </w:pBdr>
      <w:ind w:right="32" w:firstLine="360"/>
      <w:rPr>
        <w:rStyle w:val="15"/>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1A40D">
    <w:pPr>
      <w:pStyle w:val="8"/>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90E22">
    <w:pPr>
      <w:pBdr>
        <w:top w:val="single" w:color="auto" w:sz="4" w:space="1"/>
      </w:pBdr>
      <w:tabs>
        <w:tab w:val="left" w:pos="4253"/>
      </w:tabs>
      <w:jc w:val="left"/>
      <w:rPr>
        <w:rFonts w:hint="eastAsia" w:cs="Arial"/>
      </w:rPr>
    </w:pPr>
    <w:r>
      <w:rPr>
        <w:rFonts w:hint="eastAsia" w:hAnsi="Arial" w:cs="Arial"/>
        <w:sz w:val="18"/>
        <w:szCs w:val="18"/>
      </w:rPr>
      <w:t>浙江环耀环境建设有限公司</w:t>
    </w:r>
  </w:p>
  <w:p w14:paraId="278AAB55">
    <w:pPr>
      <w:tabs>
        <w:tab w:val="left" w:pos="4253"/>
      </w:tabs>
      <w:jc w:val="center"/>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13970</wp:posOffset>
              </wp:positionV>
              <wp:extent cx="241300" cy="1200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41300" cy="120015"/>
                      </a:xfrm>
                      <a:prstGeom prst="rect">
                        <a:avLst/>
                      </a:prstGeom>
                      <a:noFill/>
                      <a:ln>
                        <a:noFill/>
                      </a:ln>
                    </wps:spPr>
                    <wps:txbx>
                      <w:txbxContent>
                        <w:p w14:paraId="2A91854D">
                          <w:pPr>
                            <w:tabs>
                              <w:tab w:val="left" w:pos="4253"/>
                            </w:tabs>
                            <w:jc w:val="center"/>
                          </w:pPr>
                          <w:r>
                            <w:fldChar w:fldCharType="begin"/>
                          </w:r>
                          <w:r>
                            <w:rPr>
                              <w:sz w:val="18"/>
                              <w:szCs w:val="18"/>
                            </w:rPr>
                            <w:instrText xml:space="preserve">PAGE   \* MERGEFORMAT</w:instrText>
                          </w:r>
                          <w:r>
                            <w:rPr>
                              <w:sz w:val="18"/>
                              <w:szCs w:val="18"/>
                            </w:rPr>
                            <w:fldChar w:fldCharType="separate"/>
                          </w:r>
                          <w:r>
                            <w:rPr>
                              <w:sz w:val="18"/>
                              <w:szCs w:val="18"/>
                              <w:lang w:val="zh-CN"/>
                            </w:rPr>
                            <w:t>45</w:t>
                          </w:r>
                          <w:r>
                            <w:rPr>
                              <w:sz w:val="18"/>
                              <w:szCs w:val="18"/>
                            </w:rPr>
                            <w:fldChar w:fldCharType="end"/>
                          </w:r>
                        </w:p>
                      </w:txbxContent>
                    </wps:txbx>
                    <wps:bodyPr lIns="0" tIns="0" rIns="0" bIns="0" upright="0"/>
                  </wps:wsp>
                </a:graphicData>
              </a:graphic>
            </wp:anchor>
          </w:drawing>
        </mc:Choice>
        <mc:Fallback>
          <w:pict>
            <v:shape id="_x0000_s1026" o:spid="_x0000_s1026" o:spt="202" type="#_x0000_t202" style="position:absolute;left:0pt;margin-top:1.1pt;height:9.45pt;width:19pt;mso-position-horizontal:center;mso-position-horizontal-relative:margin;z-index:251659264;mso-width-relative:page;mso-height-relative:page;" filled="f" stroked="f" coordsize="21600,21600" o:gfxdata="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ECNQZHTAAAABAEAAA8AAAAAAAAAAQAgAAAAIgAAAGRycy9kb3ducmV2LnhtbFBLAQIUABQAAAAI&#10;AIdO4kCEvQlmuQEAAHEDAAAOAAAAAAAAAAEAIAAAACIBAABkcnMvZTJvRG9jLnhtbFBLBQYAAAAA&#10;BgAGAFkBAABNBQAAAAA=&#10;">
              <v:path/>
              <v:fill on="f" focussize="0,0"/>
              <v:stroke on="f"/>
              <v:imagedata o:title=""/>
              <o:lock v:ext="edit" grouping="f" rotation="f" text="f" aspectratio="f"/>
              <v:textbox inset="0mm,0mm,0mm,0mm">
                <w:txbxContent>
                  <w:p w14:paraId="2A91854D">
                    <w:pPr>
                      <w:tabs>
                        <w:tab w:val="left" w:pos="4253"/>
                      </w:tabs>
                      <w:jc w:val="center"/>
                    </w:pPr>
                    <w:r>
                      <w:fldChar w:fldCharType="begin"/>
                    </w:r>
                    <w:r>
                      <w:rPr>
                        <w:sz w:val="18"/>
                        <w:szCs w:val="18"/>
                      </w:rPr>
                      <w:instrText xml:space="preserve">PAGE   \* MERGEFORMAT</w:instrText>
                    </w:r>
                    <w:r>
                      <w:rPr>
                        <w:sz w:val="18"/>
                        <w:szCs w:val="18"/>
                      </w:rPr>
                      <w:fldChar w:fldCharType="separate"/>
                    </w:r>
                    <w:r>
                      <w:rPr>
                        <w:sz w:val="18"/>
                        <w:szCs w:val="18"/>
                        <w:lang w:val="zh-CN"/>
                      </w:rPr>
                      <w:t>45</w:t>
                    </w:r>
                    <w:r>
                      <w:rPr>
                        <w:sz w:val="18"/>
                        <w:szCs w:val="18"/>
                      </w:rPr>
                      <w:fldChar w:fldCharType="end"/>
                    </w:r>
                  </w:p>
                </w:txbxContent>
              </v:textbox>
            </v:shape>
          </w:pict>
        </mc:Fallback>
      </mc:AlternateContent>
    </w:r>
    <w:r>
      <w:rPr>
        <w:rFonts w:hint="eastAsia"/>
        <w:sz w:val="18"/>
        <w:szCs w:val="18"/>
      </w:rPr>
      <w:t xml:space="preserve"> </w:t>
    </w:r>
    <w:r>
      <w:rPr>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049A1">
    <w:pPr>
      <w:pStyle w:val="9"/>
      <w:ind w:firstLine="360"/>
    </w:pPr>
    <w:r>
      <w:rPr>
        <w:rFonts w:hint="eastAsia" w:cs="Arial"/>
      </w:rPr>
      <w:t>浙江金维克家庭用品科技有限公司年产7</w:t>
    </w:r>
    <w:r>
      <w:rPr>
        <w:rFonts w:cs="Arial"/>
      </w:rPr>
      <w:t>00</w:t>
    </w:r>
    <w:r>
      <w:rPr>
        <w:rFonts w:hint="eastAsia" w:cs="Arial"/>
      </w:rPr>
      <w:t>万只不锈钢杯及4</w:t>
    </w:r>
    <w:r>
      <w:rPr>
        <w:rFonts w:cs="Arial"/>
      </w:rPr>
      <w:t>00</w:t>
    </w:r>
    <w:r>
      <w:rPr>
        <w:rFonts w:hint="eastAsia" w:cs="Arial"/>
      </w:rPr>
      <w:t>万只直身瓶技改</w:t>
    </w:r>
    <w:r>
      <w:rPr>
        <w:rFonts w:cs="Arial"/>
      </w:rPr>
      <w:t>项目</w:t>
    </w:r>
    <w:r>
      <w:rPr>
        <w:rFonts w:hint="eastAsia" w:ascii="Arial" w:hAnsi="Arial" w:cs="Arial"/>
      </w:rPr>
      <w:t>环境影响报告书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29D1">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E0760">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0D81C">
    <w:pPr>
      <w:pStyle w:val="9"/>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BD44A">
    <w:pPr>
      <w:pStyle w:val="9"/>
      <w:pBdr>
        <w:bottom w:val="none" w:color="auto" w:sz="0" w:space="0"/>
      </w:pBdr>
      <w:ind w:firstLineChars="111"/>
      <w:jc w:val="both"/>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007F4">
    <w:pPr>
      <w:pStyle w:val="9"/>
      <w:ind w:firstLine="360"/>
      <w:rPr>
        <w:rFonts w:hint="eastAsia"/>
      </w:rPr>
    </w:pPr>
    <w:r>
      <w:rPr>
        <w:rFonts w:hint="eastAsia"/>
      </w:rPr>
      <w:t>兰溪市工业污水处理厂工程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decimal"/>
      <w:pStyle w:val="17"/>
      <w:isLgl/>
      <w:suff w:val="space"/>
      <w:lvlText w:val="%1"/>
      <w:lvlJc w:val="left"/>
      <w:pPr>
        <w:ind w:left="4395" w:firstLine="0"/>
      </w:pPr>
      <w:rPr>
        <w:rFonts w:hint="default" w:ascii="Times New Roman" w:hAnsi="Times New Roman" w:eastAsia="宋体" w:cs="宋体"/>
        <w:b/>
        <w:sz w:val="32"/>
      </w:rPr>
    </w:lvl>
    <w:lvl w:ilvl="1" w:tentative="0">
      <w:start w:val="1"/>
      <w:numFmt w:val="decimal"/>
      <w:pStyle w:val="18"/>
      <w:isLgl/>
      <w:suff w:val="space"/>
      <w:lvlText w:val="%1.%2"/>
      <w:lvlJc w:val="left"/>
      <w:pPr>
        <w:ind w:left="0" w:firstLine="0"/>
      </w:pPr>
      <w:rPr>
        <w:rFonts w:hint="default" w:ascii="Times New Roman" w:hAnsi="Times New Roman" w:eastAsia="宋体" w:cs="宋体"/>
        <w:b/>
        <w:i w:val="0"/>
        <w:sz w:val="30"/>
      </w:rPr>
    </w:lvl>
    <w:lvl w:ilvl="2" w:tentative="0">
      <w:start w:val="1"/>
      <w:numFmt w:val="decimal"/>
      <w:pStyle w:val="19"/>
      <w:isLgl/>
      <w:suff w:val="space"/>
      <w:lvlText w:val="%1.%2.%3"/>
      <w:lvlJc w:val="left"/>
      <w:pPr>
        <w:ind w:left="6096" w:firstLine="0"/>
      </w:pPr>
      <w:rPr>
        <w:rFonts w:hint="default" w:ascii="Times New Roman" w:hAnsi="Times New Roman" w:eastAsia="宋体" w:cs="宋体"/>
        <w:b/>
        <w:sz w:val="28"/>
      </w:rPr>
    </w:lvl>
    <w:lvl w:ilvl="3" w:tentative="0">
      <w:start w:val="1"/>
      <w:numFmt w:val="decimal"/>
      <w:isLgl/>
      <w:suff w:val="space"/>
      <w:lvlText w:val="%1.%2.%3.%4"/>
      <w:lvlJc w:val="left"/>
      <w:pPr>
        <w:ind w:left="709" w:firstLine="0"/>
      </w:pPr>
      <w:rPr>
        <w:rFonts w:hint="default" w:ascii="Times New Roman" w:hAnsi="Times New Roman" w:eastAsia="宋体" w:cs="宋体"/>
        <w:b/>
        <w:sz w:val="24"/>
      </w:rPr>
    </w:lvl>
    <w:lvl w:ilvl="4" w:tentative="0">
      <w:start w:val="1"/>
      <w:numFmt w:val="decimal"/>
      <w:lvlRestart w:val="2"/>
      <w:pStyle w:val="20"/>
      <w:isLgl/>
      <w:suff w:val="space"/>
      <w:lvlText w:val="表%1.%2-%5"/>
      <w:lvlJc w:val="left"/>
      <w:pPr>
        <w:ind w:left="2977" w:firstLine="0"/>
      </w:pPr>
      <w:rPr>
        <w:rFonts w:hint="eastAsia"/>
        <w:lang w:val="en-US"/>
      </w:rPr>
    </w:lvl>
    <w:lvl w:ilvl="5" w:tentative="0">
      <w:start w:val="1"/>
      <w:numFmt w:val="decimal"/>
      <w:lvlRestart w:val="2"/>
      <w:suff w:val="space"/>
      <w:lvlText w:val="图%1.%2-%6"/>
      <w:lvlJc w:val="left"/>
      <w:pPr>
        <w:ind w:left="3970" w:firstLine="0"/>
      </w:pPr>
      <w:rPr>
        <w:rFonts w:hint="default" w:ascii="Times New Roman" w:hAnsi="Times New Roman" w:eastAsia="宋体" w:cs="宋体"/>
        <w:b/>
        <w:sz w:val="21"/>
      </w:rPr>
    </w:lvl>
    <w:lvl w:ilvl="6" w:tentative="0">
      <w:start w:val="1"/>
      <w:numFmt w:val="decimal"/>
      <w:lvlText w:val="%1.%2.%3.%4.%5.%6.%7."/>
      <w:lvlJc w:val="left"/>
      <w:pPr>
        <w:tabs>
          <w:tab w:val="left" w:pos="1275"/>
        </w:tabs>
        <w:ind w:left="1275" w:hanging="1275"/>
      </w:pPr>
      <w:rPr>
        <w:rFonts w:hint="default"/>
      </w:rPr>
    </w:lvl>
    <w:lvl w:ilvl="7" w:tentative="0">
      <w:start w:val="1"/>
      <w:numFmt w:val="decimal"/>
      <w:lvlText w:val="%1.%2.%3.%4.%5.%6.%7.%8."/>
      <w:lvlJc w:val="left"/>
      <w:pPr>
        <w:tabs>
          <w:tab w:val="left" w:pos="1418"/>
        </w:tabs>
        <w:ind w:left="1418" w:hanging="1418"/>
      </w:pPr>
      <w:rPr>
        <w:rFonts w:hint="default"/>
      </w:rPr>
    </w:lvl>
    <w:lvl w:ilvl="8" w:tentative="0">
      <w:start w:val="1"/>
      <w:numFmt w:val="decimal"/>
      <w:lvlText w:val="%1.%2.%3.%4.%5.%6.%7.%8.%9."/>
      <w:lvlJc w:val="left"/>
      <w:pPr>
        <w:tabs>
          <w:tab w:val="left" w:pos="1558"/>
        </w:tabs>
        <w:ind w:left="1558" w:hanging="1558"/>
      </w:pPr>
      <w:rPr>
        <w:rFonts w:hint="default"/>
      </w:rPr>
    </w:lvl>
  </w:abstractNum>
  <w:abstractNum w:abstractNumId="1">
    <w:nsid w:val="4306CE75"/>
    <w:multiLevelType w:val="singleLevel"/>
    <w:tmpl w:val="4306CE75"/>
    <w:lvl w:ilvl="0" w:tentative="0">
      <w:start w:val="1"/>
      <w:numFmt w:val="decimal"/>
      <w:suff w:val="nothing"/>
      <w:lvlText w:val="（%1）"/>
      <w:lvlJc w:val="left"/>
    </w:lvl>
  </w:abstractNum>
  <w:abstractNum w:abstractNumId="2">
    <w:nsid w:val="57212197"/>
    <w:multiLevelType w:val="singleLevel"/>
    <w:tmpl w:val="57212197"/>
    <w:lvl w:ilvl="0" w:tentative="0">
      <w:start w:val="1"/>
      <w:numFmt w:val="decimal"/>
      <w:suff w:val="nothing"/>
      <w:lvlText w:val="（%1）"/>
      <w:lvlJc w:val="left"/>
    </w:lvl>
  </w:abstractNum>
  <w:abstractNum w:abstractNumId="3">
    <w:nsid w:val="788F641E"/>
    <w:multiLevelType w:val="singleLevel"/>
    <w:tmpl w:val="788F641E"/>
    <w:lvl w:ilvl="0" w:tentative="0">
      <w:start w:val="1"/>
      <w:numFmt w:val="decimalEnclosedCircleChinese"/>
      <w:suff w:val="nothing"/>
      <w:lvlText w:val="%1"/>
      <w:lvlJc w:val="left"/>
      <w:pPr>
        <w:tabs>
          <w:tab w:val="left" w:pos="0"/>
        </w:tabs>
      </w:pPr>
      <w:rPr>
        <w:rFonts w:hint="eastAsia" w:ascii="Times New Roman" w:hAnsi="Times New Roman"/>
        <w:sz w:val="21"/>
        <w:szCs w:val="21"/>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kZDM3YTFkY2M4NDNhYjljZjYyNjk1M2QzYjJlM2IifQ=="/>
  </w:docVars>
  <w:rsids>
    <w:rsidRoot w:val="00000000"/>
    <w:rsid w:val="56556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line="400" w:lineRule="exact"/>
      <w:outlineLvl w:val="0"/>
    </w:pPr>
    <w:rPr>
      <w:rFonts w:ascii="Arial" w:hAnsi="Arial" w:eastAsia="黑体"/>
      <w:b/>
      <w:bCs/>
      <w:kern w:val="44"/>
      <w:sz w:val="30"/>
      <w:szCs w:val="44"/>
    </w:rPr>
  </w:style>
  <w:style w:type="paragraph" w:styleId="3">
    <w:name w:val="heading 2"/>
    <w:basedOn w:val="1"/>
    <w:next w:val="1"/>
    <w:qFormat/>
    <w:uiPriority w:val="0"/>
    <w:pPr>
      <w:keepNext/>
      <w:keepLines/>
      <w:adjustRightInd w:val="0"/>
      <w:spacing w:before="100" w:line="400" w:lineRule="exact"/>
      <w:textAlignment w:val="baseline"/>
      <w:outlineLvl w:val="1"/>
    </w:pPr>
    <w:rPr>
      <w:rFonts w:ascii="Arial" w:hAnsi="Arial" w:eastAsia="黑体"/>
      <w:b/>
      <w:bCs/>
      <w:sz w:val="28"/>
      <w:szCs w:val="32"/>
    </w:rPr>
  </w:style>
  <w:style w:type="paragraph" w:styleId="4">
    <w:name w:val="heading 3"/>
    <w:basedOn w:val="1"/>
    <w:next w:val="1"/>
    <w:qFormat/>
    <w:uiPriority w:val="0"/>
    <w:pPr>
      <w:keepNext/>
      <w:keepLines/>
      <w:adjustRightInd w:val="0"/>
      <w:spacing w:before="100" w:line="400" w:lineRule="exact"/>
      <w:textAlignment w:val="baseline"/>
      <w:outlineLvl w:val="2"/>
    </w:pPr>
    <w:rPr>
      <w:rFonts w:ascii="Arial" w:hAnsi="Arial" w:eastAsia="黑体"/>
      <w:b/>
      <w:bCs/>
      <w:sz w:val="24"/>
      <w:szCs w:val="32"/>
    </w:rPr>
  </w:style>
  <w:style w:type="paragraph" w:styleId="5">
    <w:name w:val="heading 5"/>
    <w:basedOn w:val="1"/>
    <w:next w:val="6"/>
    <w:qFormat/>
    <w:uiPriority w:val="0"/>
    <w:pPr>
      <w:keepNext/>
      <w:keepLines/>
      <w:tabs>
        <w:tab w:val="left" w:pos="700"/>
      </w:tabs>
      <w:autoSpaceDE w:val="0"/>
      <w:autoSpaceDN w:val="0"/>
      <w:adjustRightInd w:val="0"/>
      <w:spacing w:before="280" w:after="290" w:line="372" w:lineRule="auto"/>
      <w:ind w:left="1008" w:hanging="1008"/>
      <w:outlineLvl w:val="4"/>
    </w:pPr>
    <w:rPr>
      <w:rFonts w:ascii="宋体"/>
      <w:b/>
      <w:color w:val="000000"/>
      <w:w w:val="90"/>
      <w:kern w:val="0"/>
      <w:sz w:val="28"/>
      <w:szCs w:val="20"/>
    </w:rPr>
  </w:style>
  <w:style w:type="paragraph" w:styleId="7">
    <w:name w:val="heading 6"/>
    <w:basedOn w:val="1"/>
    <w:next w:val="6"/>
    <w:qFormat/>
    <w:uiPriority w:val="0"/>
    <w:pPr>
      <w:keepNext/>
      <w:keepLines/>
      <w:tabs>
        <w:tab w:val="left" w:pos="700"/>
      </w:tabs>
      <w:autoSpaceDE w:val="0"/>
      <w:autoSpaceDN w:val="0"/>
      <w:adjustRightInd w:val="0"/>
      <w:spacing w:before="240" w:after="64" w:line="317" w:lineRule="auto"/>
      <w:ind w:left="1152" w:hanging="1152"/>
      <w:outlineLvl w:val="5"/>
    </w:pPr>
    <w:rPr>
      <w:rFonts w:ascii="Arial" w:hAnsi="Arial" w:eastAsia="黑体"/>
      <w:b/>
      <w:color w:val="000000"/>
      <w:w w:val="90"/>
      <w:kern w:val="0"/>
      <w:sz w:val="28"/>
      <w:szCs w:val="20"/>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ind w:firstLine="567"/>
      <w:textAlignment w:val="baseline"/>
    </w:pPr>
    <w:rPr>
      <w:kern w:val="0"/>
      <w:sz w:val="28"/>
      <w:szCs w:val="20"/>
    </w:rPr>
  </w:style>
  <w:style w:type="paragraph" w:styleId="8">
    <w:name w:val="footer"/>
    <w:basedOn w:val="1"/>
    <w:uiPriority w:val="99"/>
    <w:pPr>
      <w:tabs>
        <w:tab w:val="center" w:pos="4153"/>
        <w:tab w:val="right" w:pos="8306"/>
      </w:tabs>
      <w:snapToGrid w:val="0"/>
      <w:spacing w:line="240" w:lineRule="atLeast"/>
      <w:ind w:firstLine="200" w:firstLineChars="20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spacing w:line="240" w:lineRule="atLeast"/>
      <w:ind w:firstLine="200" w:firstLineChars="200"/>
      <w:jc w:val="center"/>
    </w:pPr>
    <w:rPr>
      <w:sz w:val="18"/>
      <w:szCs w:val="18"/>
    </w:rPr>
  </w:style>
  <w:style w:type="paragraph" w:styleId="10">
    <w:name w:val="toc 1"/>
    <w:basedOn w:val="1"/>
    <w:next w:val="1"/>
    <w:qFormat/>
    <w:uiPriority w:val="39"/>
    <w:pPr>
      <w:spacing w:before="240" w:after="120"/>
      <w:jc w:val="left"/>
    </w:pPr>
    <w:rPr>
      <w:rFonts w:ascii="Calibri" w:hAnsi="Calibri"/>
      <w:b/>
      <w:bCs/>
      <w:sz w:val="20"/>
      <w:szCs w:val="20"/>
    </w:rPr>
  </w:style>
  <w:style w:type="paragraph" w:styleId="11">
    <w:name w:val="toc 2"/>
    <w:basedOn w:val="1"/>
    <w:next w:val="1"/>
    <w:qFormat/>
    <w:uiPriority w:val="39"/>
    <w:pPr>
      <w:spacing w:before="120"/>
      <w:ind w:left="210"/>
      <w:jc w:val="left"/>
    </w:pPr>
    <w:rPr>
      <w:rFonts w:ascii="Calibri" w:hAnsi="Calibri"/>
      <w:i/>
      <w:iCs/>
      <w:sz w:val="20"/>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style>
  <w:style w:type="paragraph" w:customStyle="1" w:styleId="16">
    <w:name w:val="正文-whz"/>
    <w:basedOn w:val="1"/>
    <w:qFormat/>
    <w:uiPriority w:val="0"/>
    <w:pPr>
      <w:spacing w:line="360" w:lineRule="auto"/>
      <w:ind w:firstLine="200" w:firstLineChars="200"/>
    </w:pPr>
    <w:rPr>
      <w:kern w:val="0"/>
      <w:sz w:val="24"/>
      <w:szCs w:val="20"/>
    </w:rPr>
  </w:style>
  <w:style w:type="paragraph" w:customStyle="1" w:styleId="17">
    <w:name w:val="标题1-whz"/>
    <w:basedOn w:val="2"/>
    <w:qFormat/>
    <w:uiPriority w:val="0"/>
    <w:pPr>
      <w:numPr>
        <w:ilvl w:val="0"/>
        <w:numId w:val="1"/>
      </w:numPr>
      <w:tabs>
        <w:tab w:val="left" w:pos="840"/>
      </w:tabs>
      <w:spacing w:before="0" w:line="360" w:lineRule="auto"/>
      <w:jc w:val="left"/>
    </w:pPr>
    <w:rPr>
      <w:rFonts w:ascii="Times New Roman" w:hAnsi="Times New Roman" w:eastAsia="宋体"/>
      <w:sz w:val="32"/>
    </w:rPr>
  </w:style>
  <w:style w:type="paragraph" w:customStyle="1" w:styleId="18">
    <w:name w:val="标题2-whz"/>
    <w:basedOn w:val="3"/>
    <w:qFormat/>
    <w:uiPriority w:val="0"/>
    <w:pPr>
      <w:numPr>
        <w:ilvl w:val="1"/>
        <w:numId w:val="1"/>
      </w:numPr>
      <w:adjustRightInd/>
      <w:spacing w:before="0" w:line="360" w:lineRule="auto"/>
    </w:pPr>
    <w:rPr>
      <w:rFonts w:ascii="Tiger Expert" w:hAnsi="Tiger Expert" w:eastAsia="宋体"/>
      <w:sz w:val="30"/>
      <w:szCs w:val="30"/>
    </w:rPr>
  </w:style>
  <w:style w:type="paragraph" w:customStyle="1" w:styleId="19">
    <w:name w:val="标题3-whz"/>
    <w:basedOn w:val="4"/>
    <w:qFormat/>
    <w:uiPriority w:val="0"/>
    <w:pPr>
      <w:numPr>
        <w:ilvl w:val="2"/>
        <w:numId w:val="1"/>
      </w:numPr>
      <w:adjustRightInd/>
      <w:spacing w:before="0" w:line="360" w:lineRule="auto"/>
      <w:jc w:val="left"/>
    </w:pPr>
    <w:rPr>
      <w:rFonts w:ascii="Times New Roman" w:hAnsi="Times New Roman" w:eastAsia="宋体"/>
      <w:sz w:val="28"/>
      <w:szCs w:val="28"/>
    </w:rPr>
  </w:style>
  <w:style w:type="paragraph" w:customStyle="1" w:styleId="20">
    <w:name w:val="标题5-whz"/>
    <w:basedOn w:val="5"/>
    <w:qFormat/>
    <w:uiPriority w:val="0"/>
    <w:pPr>
      <w:numPr>
        <w:ilvl w:val="4"/>
        <w:numId w:val="1"/>
      </w:numPr>
      <w:snapToGrid w:val="0"/>
      <w:spacing w:before="0" w:after="0" w:line="240" w:lineRule="auto"/>
      <w:ind w:left="0"/>
      <w:jc w:val="center"/>
    </w:pPr>
    <w:rPr>
      <w:rFonts w:ascii="Times New Roman"/>
      <w:color w:val="auto"/>
      <w:sz w:val="24"/>
    </w:rPr>
  </w:style>
  <w:style w:type="paragraph" w:customStyle="1" w:styleId="21">
    <w:name w:val="表格内whz"/>
    <w:basedOn w:val="6"/>
    <w:qFormat/>
    <w:uiPriority w:val="0"/>
    <w:pPr>
      <w:autoSpaceDE/>
      <w:autoSpaceDN/>
      <w:snapToGrid w:val="0"/>
      <w:ind w:firstLine="0"/>
      <w:jc w:val="center"/>
      <w:textAlignment w:val="auto"/>
    </w:pPr>
    <w:rPr>
      <w:kern w:val="2"/>
      <w:sz w:val="21"/>
    </w:rPr>
  </w:style>
  <w:style w:type="paragraph" w:customStyle="1" w:styleId="22">
    <w:name w:val="图1.1-1"/>
    <w:basedOn w:val="23"/>
    <w:qFormat/>
    <w:uiPriority w:val="0"/>
    <w:pPr>
      <w:tabs>
        <w:tab w:val="left" w:pos="3000"/>
      </w:tabs>
    </w:pPr>
  </w:style>
  <w:style w:type="paragraph" w:customStyle="1" w:styleId="23">
    <w:name w:val="标题6-cxr"/>
    <w:basedOn w:val="7"/>
    <w:qFormat/>
    <w:uiPriority w:val="0"/>
    <w:pPr>
      <w:tabs>
        <w:tab w:val="left" w:pos="3000"/>
        <w:tab w:val="clear" w:pos="700"/>
      </w:tabs>
      <w:snapToGrid w:val="0"/>
      <w:spacing w:before="0" w:after="0" w:line="240" w:lineRule="auto"/>
      <w:ind w:left="0" w:firstLine="0"/>
      <w:jc w:val="center"/>
    </w:pPr>
    <w:rPr>
      <w:rFonts w:ascii="Times New Roman" w:hAnsi="Times New Roman" w:eastAsia="宋体"/>
      <w:sz w:val="21"/>
    </w:rPr>
  </w:style>
  <w:style w:type="paragraph" w:customStyle="1" w:styleId="24">
    <w:name w:val="正文01"/>
    <w:basedOn w:val="25"/>
    <w:qFormat/>
    <w:uiPriority w:val="0"/>
    <w:pPr>
      <w:ind w:firstLine="200" w:firstLineChars="200"/>
      <w:outlineLvl w:val="9"/>
    </w:pPr>
    <w:rPr>
      <w:b w:val="0"/>
      <w:sz w:val="24"/>
    </w:rPr>
  </w:style>
  <w:style w:type="paragraph" w:customStyle="1" w:styleId="25">
    <w:name w:val="二级标题"/>
    <w:basedOn w:val="1"/>
    <w:qFormat/>
    <w:uiPriority w:val="0"/>
    <w:pPr>
      <w:spacing w:before="60" w:line="460" w:lineRule="exact"/>
      <w:outlineLvl w:val="1"/>
    </w:pPr>
    <w:rPr>
      <w:b/>
      <w:bCs/>
      <w:sz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jpe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2024-11-11T08:11:26Z</dcterms:created>
  <dc:creator>123</dc:creator>
  <cp:lastModifiedBy>洪杰</cp:lastModifiedBy>
  <dcterms:modified xsi:type="dcterms:W3CDTF">2024-11-11T08:11:53Z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8A2F07BB84D44E1C9BE849E90B956681_12</vt:lpwstr>
  </property>
</Properties>
</file>